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EAE" w:rsidRPr="00C803C7" w:rsidRDefault="00127EAE" w:rsidP="009E07BA">
      <w:pPr>
        <w:jc w:val="center"/>
        <w:rPr>
          <w:rFonts w:ascii="Arial" w:hAnsi="Arial" w:cs="Arial"/>
          <w:sz w:val="66"/>
        </w:rPr>
      </w:pPr>
      <w:bookmarkStart w:id="0" w:name="_Toc477750212"/>
    </w:p>
    <w:p w:rsidR="009E07BA" w:rsidRPr="00C803C7" w:rsidRDefault="009E07BA" w:rsidP="009E07BA">
      <w:pPr>
        <w:jc w:val="center"/>
        <w:rPr>
          <w:rFonts w:ascii="Arial" w:hAnsi="Arial" w:cs="Arial"/>
          <w:sz w:val="66"/>
        </w:rPr>
      </w:pPr>
    </w:p>
    <w:p w:rsidR="009E07BA" w:rsidRPr="00C803C7" w:rsidRDefault="009E07BA" w:rsidP="009E07BA">
      <w:pPr>
        <w:jc w:val="center"/>
        <w:rPr>
          <w:rFonts w:ascii="Arial" w:hAnsi="Arial" w:cs="Arial"/>
          <w:sz w:val="66"/>
        </w:rPr>
      </w:pPr>
    </w:p>
    <w:p w:rsidR="009E07BA" w:rsidRPr="00C803C7" w:rsidRDefault="009E07BA" w:rsidP="009E07BA">
      <w:pPr>
        <w:jc w:val="center"/>
        <w:rPr>
          <w:rFonts w:ascii="Arial" w:hAnsi="Arial" w:cs="Arial"/>
          <w:b/>
          <w:sz w:val="59"/>
        </w:rPr>
      </w:pPr>
      <w:r w:rsidRPr="00C803C7">
        <w:rPr>
          <w:rFonts w:ascii="Arial" w:hAnsi="Arial" w:cs="Arial"/>
          <w:b/>
          <w:sz w:val="59"/>
        </w:rPr>
        <w:t xml:space="preserve">STATE </w:t>
      </w:r>
      <w:smartTag w:uri="urn:schemas-microsoft-com:office:smarttags" w:element="stockticker">
        <w:r w:rsidRPr="00C803C7">
          <w:rPr>
            <w:rFonts w:ascii="Arial" w:hAnsi="Arial" w:cs="Arial"/>
            <w:b/>
            <w:sz w:val="59"/>
          </w:rPr>
          <w:t>FIRE</w:t>
        </w:r>
      </w:smartTag>
      <w:r w:rsidRPr="00C803C7">
        <w:rPr>
          <w:rFonts w:ascii="Arial" w:hAnsi="Arial" w:cs="Arial"/>
          <w:b/>
          <w:sz w:val="59"/>
        </w:rPr>
        <w:t xml:space="preserve"> COMMISSION</w:t>
      </w:r>
    </w:p>
    <w:p w:rsidR="009E07BA" w:rsidRPr="00C803C7" w:rsidRDefault="009E07BA" w:rsidP="009E07BA">
      <w:pPr>
        <w:jc w:val="center"/>
        <w:rPr>
          <w:rFonts w:ascii="Arial" w:hAnsi="Arial" w:cs="Arial"/>
          <w:b/>
          <w:sz w:val="59"/>
        </w:rPr>
      </w:pPr>
    </w:p>
    <w:p w:rsidR="009E07BA" w:rsidRPr="00C803C7" w:rsidRDefault="009E07BA" w:rsidP="009E07BA">
      <w:pPr>
        <w:jc w:val="center"/>
        <w:rPr>
          <w:rFonts w:ascii="Arial" w:hAnsi="Arial" w:cs="Arial"/>
          <w:b/>
          <w:sz w:val="59"/>
        </w:rPr>
      </w:pPr>
      <w:r w:rsidRPr="00C803C7">
        <w:rPr>
          <w:rFonts w:ascii="Arial" w:hAnsi="Arial" w:cs="Arial"/>
          <w:b/>
          <w:sz w:val="59"/>
        </w:rPr>
        <w:t xml:space="preserve">CORPORATE </w:t>
      </w:r>
      <w:smartTag w:uri="urn:schemas-microsoft-com:office:smarttags" w:element="stockticker">
        <w:r w:rsidRPr="00C803C7">
          <w:rPr>
            <w:rFonts w:ascii="Arial" w:hAnsi="Arial" w:cs="Arial"/>
            <w:b/>
            <w:sz w:val="59"/>
          </w:rPr>
          <w:t>PLAN</w:t>
        </w:r>
      </w:smartTag>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33"/>
        </w:rPr>
      </w:pPr>
      <w:r w:rsidRPr="00C803C7">
        <w:rPr>
          <w:rFonts w:ascii="Arial" w:hAnsi="Arial" w:cs="Arial"/>
          <w:sz w:val="33"/>
        </w:rPr>
        <w:t>Prepared by the State Fire Commission</w:t>
      </w:r>
    </w:p>
    <w:p w:rsidR="009E07BA" w:rsidRPr="00C803C7" w:rsidRDefault="009E07BA" w:rsidP="009E07BA">
      <w:pPr>
        <w:jc w:val="center"/>
        <w:rPr>
          <w:rFonts w:ascii="Arial" w:hAnsi="Arial" w:cs="Arial"/>
          <w:sz w:val="33"/>
        </w:rPr>
      </w:pPr>
    </w:p>
    <w:p w:rsidR="009E07BA" w:rsidRPr="00C803C7" w:rsidRDefault="009E07BA" w:rsidP="009E07BA">
      <w:pPr>
        <w:jc w:val="center"/>
        <w:rPr>
          <w:rFonts w:ascii="Arial" w:hAnsi="Arial" w:cs="Arial"/>
          <w:sz w:val="33"/>
        </w:rPr>
      </w:pPr>
      <w:r w:rsidRPr="00C803C7">
        <w:rPr>
          <w:rFonts w:ascii="Arial" w:hAnsi="Arial" w:cs="Arial"/>
          <w:sz w:val="33"/>
        </w:rPr>
        <w:t xml:space="preserve">for the Financial Years </w:t>
      </w:r>
      <w:r w:rsidR="00C803C7" w:rsidRPr="00C803C7">
        <w:rPr>
          <w:rFonts w:ascii="Arial" w:hAnsi="Arial" w:cs="Arial"/>
          <w:sz w:val="33"/>
        </w:rPr>
        <w:t>20</w:t>
      </w:r>
      <w:r w:rsidR="008038C6">
        <w:rPr>
          <w:rFonts w:ascii="Arial" w:hAnsi="Arial" w:cs="Arial"/>
          <w:sz w:val="33"/>
        </w:rPr>
        <w:t>1</w:t>
      </w:r>
      <w:r w:rsidR="00715677">
        <w:rPr>
          <w:rFonts w:ascii="Arial" w:hAnsi="Arial" w:cs="Arial"/>
          <w:sz w:val="33"/>
        </w:rPr>
        <w:t>1</w:t>
      </w:r>
      <w:r w:rsidR="00C803C7" w:rsidRPr="00C803C7">
        <w:rPr>
          <w:rFonts w:ascii="Arial" w:hAnsi="Arial" w:cs="Arial"/>
          <w:sz w:val="33"/>
        </w:rPr>
        <w:t>-20</w:t>
      </w:r>
      <w:r w:rsidR="00C74A2F">
        <w:rPr>
          <w:rFonts w:ascii="Arial" w:hAnsi="Arial" w:cs="Arial"/>
          <w:sz w:val="33"/>
        </w:rPr>
        <w:t>1</w:t>
      </w:r>
      <w:r w:rsidR="00715677">
        <w:rPr>
          <w:rFonts w:ascii="Arial" w:hAnsi="Arial" w:cs="Arial"/>
          <w:sz w:val="33"/>
        </w:rPr>
        <w:t>2</w:t>
      </w:r>
      <w:r w:rsidR="00C803C7" w:rsidRPr="00C803C7">
        <w:rPr>
          <w:rFonts w:ascii="Arial" w:hAnsi="Arial" w:cs="Arial"/>
          <w:sz w:val="33"/>
        </w:rPr>
        <w:t xml:space="preserve"> to 201</w:t>
      </w:r>
      <w:r w:rsidR="00715677">
        <w:rPr>
          <w:rFonts w:ascii="Arial" w:hAnsi="Arial" w:cs="Arial"/>
          <w:sz w:val="33"/>
        </w:rPr>
        <w:t>3</w:t>
      </w:r>
      <w:r w:rsidR="00C803C7" w:rsidRPr="00C803C7">
        <w:rPr>
          <w:rFonts w:ascii="Arial" w:hAnsi="Arial" w:cs="Arial"/>
          <w:sz w:val="33"/>
        </w:rPr>
        <w:t>-201</w:t>
      </w:r>
      <w:r w:rsidR="00715677">
        <w:rPr>
          <w:rFonts w:ascii="Arial" w:hAnsi="Arial" w:cs="Arial"/>
          <w:sz w:val="33"/>
        </w:rPr>
        <w:t>4</w:t>
      </w:r>
    </w:p>
    <w:p w:rsidR="00CB5088" w:rsidRPr="00C803C7" w:rsidRDefault="00CB5088" w:rsidP="00CB5088">
      <w:pPr>
        <w:rPr>
          <w:rFonts w:ascii="Arial" w:hAnsi="Arial" w:cs="Arial"/>
          <w:sz w:val="18"/>
        </w:rPr>
      </w:pPr>
    </w:p>
    <w:p w:rsidR="00CB5088" w:rsidRPr="00C803C7" w:rsidRDefault="00CB5088" w:rsidP="009E07BA">
      <w:pPr>
        <w:jc w:val="center"/>
        <w:rPr>
          <w:rFonts w:ascii="Arial" w:hAnsi="Arial" w:cs="Arial"/>
          <w:b/>
          <w:sz w:val="29"/>
        </w:rPr>
        <w:sectPr w:rsidR="00CB5088" w:rsidRPr="00C803C7" w:rsidSect="004C7EF5">
          <w:headerReference w:type="default" r:id="rId11"/>
          <w:footerReference w:type="even" r:id="rId12"/>
          <w:footerReference w:type="default" r:id="rId13"/>
          <w:pgSz w:w="11907" w:h="16840" w:code="9"/>
          <w:pgMar w:top="1134" w:right="1134" w:bottom="1134" w:left="1134" w:header="720" w:footer="397" w:gutter="284"/>
          <w:cols w:space="720"/>
          <w:titlePg/>
        </w:sectPr>
      </w:pPr>
    </w:p>
    <w:p w:rsidR="009B6232" w:rsidRDefault="009B6232" w:rsidP="00CB5088">
      <w:pPr>
        <w:rPr>
          <w:rFonts w:ascii="Arial" w:hAnsi="Arial" w:cs="Arial"/>
          <w:b/>
          <w:sz w:val="22"/>
          <w:szCs w:val="22"/>
        </w:rPr>
        <w:sectPr w:rsidR="009B6232" w:rsidSect="004C7EF5">
          <w:headerReference w:type="default" r:id="rId14"/>
          <w:footerReference w:type="default" r:id="rId15"/>
          <w:footerReference w:type="first" r:id="rId16"/>
          <w:pgSz w:w="11907" w:h="16840" w:code="9"/>
          <w:pgMar w:top="899" w:right="1134" w:bottom="1134" w:left="1134" w:header="720" w:footer="397" w:gutter="284"/>
          <w:pgNumType w:start="1"/>
          <w:cols w:space="720"/>
        </w:sectPr>
      </w:pPr>
    </w:p>
    <w:p w:rsidR="009E07BA" w:rsidRPr="008047D6" w:rsidRDefault="009E07BA" w:rsidP="00CB5088">
      <w:pPr>
        <w:rPr>
          <w:rFonts w:ascii="Arial" w:hAnsi="Arial" w:cs="Arial"/>
          <w:b/>
          <w:sz w:val="22"/>
          <w:szCs w:val="22"/>
        </w:rPr>
      </w:pPr>
    </w:p>
    <w:p w:rsidR="00CB5088" w:rsidRPr="008047D6" w:rsidRDefault="00CB5088" w:rsidP="00CB5088">
      <w:pPr>
        <w:pBdr>
          <w:top w:val="single" w:sz="6" w:space="1" w:color="auto"/>
          <w:left w:val="single" w:sz="6" w:space="1" w:color="auto"/>
          <w:bottom w:val="single" w:sz="6" w:space="1" w:color="auto"/>
          <w:right w:val="single" w:sz="6" w:space="1" w:color="auto"/>
        </w:pBdr>
        <w:shd w:val="pct5" w:color="auto" w:fill="FFFFFF"/>
        <w:jc w:val="center"/>
        <w:rPr>
          <w:rFonts w:ascii="Arial" w:hAnsi="Arial" w:cs="Arial"/>
          <w:b/>
          <w:sz w:val="22"/>
          <w:szCs w:val="22"/>
        </w:rPr>
      </w:pPr>
      <w:r w:rsidRPr="008047D6">
        <w:rPr>
          <w:rFonts w:ascii="Arial" w:hAnsi="Arial" w:cs="Arial"/>
          <w:b/>
          <w:sz w:val="22"/>
          <w:szCs w:val="22"/>
        </w:rPr>
        <w:t xml:space="preserve">STATE </w:t>
      </w:r>
      <w:smartTag w:uri="urn:schemas-microsoft-com:office:smarttags" w:element="stockticker">
        <w:r w:rsidRPr="008047D6">
          <w:rPr>
            <w:rFonts w:ascii="Arial" w:hAnsi="Arial" w:cs="Arial"/>
            <w:b/>
            <w:sz w:val="22"/>
            <w:szCs w:val="22"/>
          </w:rPr>
          <w:t>FIRE</w:t>
        </w:r>
      </w:smartTag>
      <w:r w:rsidRPr="008047D6">
        <w:rPr>
          <w:rFonts w:ascii="Arial" w:hAnsi="Arial" w:cs="Arial"/>
          <w:b/>
          <w:sz w:val="22"/>
          <w:szCs w:val="22"/>
        </w:rPr>
        <w:t xml:space="preserve"> COMMISSION</w:t>
      </w:r>
    </w:p>
    <w:p w:rsidR="00CB5088" w:rsidRPr="008047D6" w:rsidRDefault="005A0053" w:rsidP="00CB5088">
      <w:pPr>
        <w:pStyle w:val="Heading8"/>
        <w:rPr>
          <w:rFonts w:cs="Arial"/>
          <w:sz w:val="22"/>
          <w:szCs w:val="22"/>
        </w:rPr>
      </w:pPr>
      <w:r w:rsidRPr="008047D6">
        <w:rPr>
          <w:rFonts w:cs="Arial"/>
          <w:sz w:val="22"/>
          <w:szCs w:val="22"/>
        </w:rPr>
        <w:t xml:space="preserve">CORPORATE </w:t>
      </w:r>
      <w:smartTag w:uri="urn:schemas-microsoft-com:office:smarttags" w:element="stockticker">
        <w:r w:rsidRPr="008047D6">
          <w:rPr>
            <w:rFonts w:cs="Arial"/>
            <w:sz w:val="22"/>
            <w:szCs w:val="22"/>
          </w:rPr>
          <w:t>PLAN</w:t>
        </w:r>
      </w:smartTag>
    </w:p>
    <w:p w:rsidR="0099324F" w:rsidRPr="0099324F" w:rsidRDefault="009525BE" w:rsidP="0099324F">
      <w:pPr>
        <w:pStyle w:val="TOC1"/>
        <w:spacing w:after="120"/>
        <w:rPr>
          <w:rFonts w:ascii="Arial" w:eastAsiaTheme="minorEastAsia" w:hAnsi="Arial" w:cs="Arial"/>
          <w:sz w:val="22"/>
          <w:szCs w:val="22"/>
        </w:rPr>
      </w:pPr>
      <w:r w:rsidRPr="0099324F">
        <w:rPr>
          <w:rFonts w:ascii="Arial" w:hAnsi="Arial" w:cs="Arial"/>
        </w:rPr>
        <w:fldChar w:fldCharType="begin"/>
      </w:r>
      <w:r w:rsidR="009E07BA" w:rsidRPr="0099324F">
        <w:rPr>
          <w:rFonts w:ascii="Arial" w:hAnsi="Arial" w:cs="Arial"/>
        </w:rPr>
        <w:instrText xml:space="preserve"> TOC \o "1-2" </w:instrText>
      </w:r>
      <w:r w:rsidRPr="0099324F">
        <w:rPr>
          <w:rFonts w:ascii="Arial" w:hAnsi="Arial" w:cs="Arial"/>
        </w:rPr>
        <w:fldChar w:fldCharType="separate"/>
      </w:r>
      <w:r w:rsidR="0099324F" w:rsidRPr="0099324F">
        <w:rPr>
          <w:rFonts w:ascii="Arial" w:hAnsi="Arial" w:cs="Arial"/>
          <w:bCs/>
        </w:rPr>
        <w:t>1.</w:t>
      </w:r>
      <w:r w:rsidR="0099324F" w:rsidRPr="0099324F">
        <w:rPr>
          <w:rFonts w:ascii="Arial" w:eastAsiaTheme="minorEastAsia" w:hAnsi="Arial" w:cs="Arial"/>
          <w:sz w:val="22"/>
          <w:szCs w:val="22"/>
        </w:rPr>
        <w:tab/>
      </w:r>
      <w:r w:rsidR="0099324F" w:rsidRPr="0099324F">
        <w:rPr>
          <w:rFonts w:ascii="Arial" w:hAnsi="Arial" w:cs="Arial"/>
          <w:bCs/>
        </w:rPr>
        <w:t>EXECUTIVE SUMMARY</w:t>
      </w:r>
      <w:r w:rsidR="0099324F" w:rsidRPr="0099324F">
        <w:rPr>
          <w:rFonts w:ascii="Arial" w:hAnsi="Arial" w:cs="Arial"/>
        </w:rPr>
        <w:tab/>
      </w:r>
      <w:r w:rsidRPr="0099324F">
        <w:rPr>
          <w:rFonts w:ascii="Arial" w:hAnsi="Arial" w:cs="Arial"/>
        </w:rPr>
        <w:fldChar w:fldCharType="begin"/>
      </w:r>
      <w:r w:rsidR="0099324F" w:rsidRPr="0099324F">
        <w:rPr>
          <w:rFonts w:ascii="Arial" w:hAnsi="Arial" w:cs="Arial"/>
        </w:rPr>
        <w:instrText xml:space="preserve"> PAGEREF _Toc288225427 \h </w:instrText>
      </w:r>
      <w:r w:rsidRPr="0099324F">
        <w:rPr>
          <w:rFonts w:ascii="Arial" w:hAnsi="Arial" w:cs="Arial"/>
        </w:rPr>
      </w:r>
      <w:r w:rsidRPr="0099324F">
        <w:rPr>
          <w:rFonts w:ascii="Arial" w:hAnsi="Arial" w:cs="Arial"/>
        </w:rPr>
        <w:fldChar w:fldCharType="separate"/>
      </w:r>
      <w:r w:rsidR="004E4F11">
        <w:rPr>
          <w:rFonts w:ascii="Arial" w:hAnsi="Arial" w:cs="Arial"/>
        </w:rPr>
        <w:t>2</w:t>
      </w:r>
      <w:r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2.</w:t>
      </w:r>
      <w:r w:rsidRPr="0099324F">
        <w:rPr>
          <w:rFonts w:ascii="Arial" w:eastAsiaTheme="minorEastAsia" w:hAnsi="Arial" w:cs="Arial"/>
          <w:sz w:val="22"/>
          <w:szCs w:val="22"/>
        </w:rPr>
        <w:tab/>
      </w:r>
      <w:r w:rsidRPr="0099324F">
        <w:rPr>
          <w:rFonts w:ascii="Arial" w:hAnsi="Arial" w:cs="Arial"/>
        </w:rPr>
        <w:t>VISION AND ROLE</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_Toc288225428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4</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3.</w:t>
      </w:r>
      <w:r w:rsidRPr="0099324F">
        <w:rPr>
          <w:rFonts w:ascii="Arial" w:eastAsiaTheme="minorEastAsia" w:hAnsi="Arial" w:cs="Arial"/>
          <w:sz w:val="22"/>
          <w:szCs w:val="22"/>
        </w:rPr>
        <w:tab/>
      </w:r>
      <w:r w:rsidRPr="0099324F">
        <w:rPr>
          <w:rFonts w:ascii="Arial" w:hAnsi="Arial" w:cs="Arial"/>
        </w:rPr>
        <w:t>MAIN UNDERTAKINGS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_Toc288225429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5</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4.</w:t>
      </w:r>
      <w:r w:rsidRPr="0099324F">
        <w:rPr>
          <w:rFonts w:ascii="Arial" w:eastAsiaTheme="minorEastAsia" w:hAnsi="Arial" w:cs="Arial"/>
          <w:sz w:val="22"/>
          <w:szCs w:val="22"/>
        </w:rPr>
        <w:tab/>
      </w:r>
      <w:r w:rsidRPr="0099324F">
        <w:rPr>
          <w:rFonts w:ascii="Arial" w:hAnsi="Arial" w:cs="Arial"/>
        </w:rPr>
        <w:t>OPERATING ENVIRONMENT</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_Toc288225430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5</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5.</w:t>
      </w:r>
      <w:r w:rsidRPr="0099324F">
        <w:rPr>
          <w:rFonts w:ascii="Arial" w:eastAsiaTheme="minorEastAsia" w:hAnsi="Arial" w:cs="Arial"/>
          <w:sz w:val="22"/>
          <w:szCs w:val="22"/>
        </w:rPr>
        <w:tab/>
      </w:r>
      <w:r w:rsidRPr="0099324F">
        <w:rPr>
          <w:rFonts w:ascii="Arial" w:hAnsi="Arial" w:cs="Arial"/>
        </w:rPr>
        <w:t>KEY RISKS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_Toc288225431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6</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6.</w:t>
      </w:r>
      <w:r w:rsidRPr="0099324F">
        <w:rPr>
          <w:rFonts w:ascii="Arial" w:eastAsiaTheme="minorEastAsia" w:hAnsi="Arial" w:cs="Arial"/>
          <w:sz w:val="22"/>
          <w:szCs w:val="22"/>
        </w:rPr>
        <w:tab/>
      </w:r>
      <w:r w:rsidRPr="0099324F">
        <w:rPr>
          <w:rFonts w:ascii="Arial" w:hAnsi="Arial" w:cs="Arial"/>
        </w:rPr>
        <w:t>STRATEGIC DIRECTION</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_Toc288225433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7</w:t>
      </w:r>
      <w:r w:rsidR="009525BE" w:rsidRPr="0099324F">
        <w:rPr>
          <w:rFonts w:ascii="Arial" w:hAnsi="Arial" w:cs="Arial"/>
        </w:rPr>
        <w:fldChar w:fldCharType="end"/>
      </w:r>
    </w:p>
    <w:p w:rsidR="0099324F" w:rsidRPr="0099324F" w:rsidRDefault="0099324F" w:rsidP="0099324F">
      <w:pPr>
        <w:pStyle w:val="TOC1"/>
        <w:spacing w:after="120"/>
        <w:ind w:firstLine="567"/>
        <w:rPr>
          <w:rFonts w:ascii="Arial" w:eastAsiaTheme="minorEastAsia" w:hAnsi="Arial" w:cs="Arial"/>
          <w:sz w:val="22"/>
          <w:szCs w:val="22"/>
        </w:rPr>
      </w:pPr>
      <w:r w:rsidRPr="0099324F">
        <w:rPr>
          <w:rFonts w:ascii="Arial" w:hAnsi="Arial" w:cs="Arial"/>
          <w:bCs/>
          <w:i/>
        </w:rPr>
        <w:t>A FIRE SAFE COMMUNITY</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_Toc288225434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8</w:t>
      </w:r>
      <w:r w:rsidR="009525BE" w:rsidRPr="0099324F">
        <w:rPr>
          <w:rFonts w:ascii="Arial" w:hAnsi="Arial" w:cs="Arial"/>
        </w:rPr>
        <w:fldChar w:fldCharType="end"/>
      </w:r>
    </w:p>
    <w:p w:rsidR="0099324F" w:rsidRPr="0099324F" w:rsidRDefault="0099324F" w:rsidP="0099324F">
      <w:pPr>
        <w:pStyle w:val="TOC1"/>
        <w:spacing w:after="120"/>
        <w:ind w:firstLine="567"/>
        <w:rPr>
          <w:rFonts w:ascii="Arial" w:eastAsiaTheme="minorEastAsia" w:hAnsi="Arial" w:cs="Arial"/>
          <w:sz w:val="22"/>
          <w:szCs w:val="22"/>
        </w:rPr>
      </w:pPr>
      <w:r w:rsidRPr="0099324F">
        <w:rPr>
          <w:rFonts w:ascii="Arial" w:hAnsi="Arial" w:cs="Arial"/>
          <w:i/>
          <w:iCs/>
        </w:rPr>
        <w:t>EMERGENCY RESPONSE</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_Toc288225435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9</w:t>
      </w:r>
      <w:r w:rsidR="009525BE" w:rsidRPr="0099324F">
        <w:rPr>
          <w:rFonts w:ascii="Arial" w:hAnsi="Arial" w:cs="Arial"/>
        </w:rPr>
        <w:fldChar w:fldCharType="end"/>
      </w:r>
    </w:p>
    <w:p w:rsidR="0099324F" w:rsidRPr="0099324F" w:rsidRDefault="0099324F" w:rsidP="0099324F">
      <w:pPr>
        <w:pStyle w:val="TOC1"/>
        <w:spacing w:after="120"/>
        <w:ind w:firstLine="567"/>
        <w:rPr>
          <w:rFonts w:ascii="Arial" w:eastAsiaTheme="minorEastAsia" w:hAnsi="Arial" w:cs="Arial"/>
          <w:sz w:val="22"/>
          <w:szCs w:val="22"/>
        </w:rPr>
      </w:pPr>
      <w:r w:rsidRPr="0099324F">
        <w:rPr>
          <w:rFonts w:ascii="Arial" w:hAnsi="Arial" w:cs="Arial"/>
          <w:bCs/>
          <w:i/>
        </w:rPr>
        <w:t>OUR ORGANISATION</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_Toc288225436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11</w:t>
      </w:r>
      <w:r w:rsidR="009525BE" w:rsidRPr="0099324F">
        <w:rPr>
          <w:rFonts w:ascii="Arial" w:hAnsi="Arial" w:cs="Arial"/>
        </w:rPr>
        <w:fldChar w:fldCharType="end"/>
      </w:r>
    </w:p>
    <w:p w:rsidR="0099324F" w:rsidRPr="0099324F" w:rsidRDefault="0099324F" w:rsidP="0099324F">
      <w:pPr>
        <w:pStyle w:val="TOC1"/>
        <w:spacing w:after="120"/>
        <w:ind w:firstLine="567"/>
        <w:rPr>
          <w:rFonts w:ascii="Arial" w:eastAsiaTheme="minorEastAsia" w:hAnsi="Arial" w:cs="Arial"/>
          <w:sz w:val="22"/>
          <w:szCs w:val="22"/>
        </w:rPr>
      </w:pPr>
      <w:r w:rsidRPr="0099324F">
        <w:rPr>
          <w:rFonts w:ascii="Arial" w:hAnsi="Arial" w:cs="Arial"/>
          <w:bCs/>
          <w:i/>
        </w:rPr>
        <w:t>OUR PEOPLE</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_Toc288225437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12</w:t>
      </w:r>
      <w:r w:rsidR="009525BE" w:rsidRPr="0099324F">
        <w:rPr>
          <w:rFonts w:ascii="Arial" w:hAnsi="Arial" w:cs="Arial"/>
        </w:rPr>
        <w:fldChar w:fldCharType="end"/>
      </w:r>
    </w:p>
    <w:p w:rsidR="0099324F" w:rsidRPr="0099324F" w:rsidRDefault="0099324F" w:rsidP="0099324F">
      <w:pPr>
        <w:pStyle w:val="TOC1"/>
        <w:spacing w:after="120"/>
        <w:ind w:firstLine="567"/>
        <w:rPr>
          <w:rFonts w:ascii="Arial" w:eastAsiaTheme="minorEastAsia" w:hAnsi="Arial" w:cs="Arial"/>
          <w:sz w:val="22"/>
          <w:szCs w:val="22"/>
        </w:rPr>
      </w:pPr>
      <w:r w:rsidRPr="0099324F">
        <w:rPr>
          <w:rFonts w:ascii="Arial" w:hAnsi="Arial" w:cs="Arial"/>
          <w:bCs/>
          <w:i/>
        </w:rPr>
        <w:t>OUR RESOURCES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_Toc288225438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13</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7.</w:t>
      </w:r>
      <w:r w:rsidRPr="0099324F">
        <w:rPr>
          <w:rFonts w:ascii="Arial" w:eastAsiaTheme="minorEastAsia" w:hAnsi="Arial" w:cs="Arial"/>
          <w:sz w:val="22"/>
          <w:szCs w:val="22"/>
        </w:rPr>
        <w:tab/>
      </w:r>
      <w:r w:rsidRPr="0099324F">
        <w:rPr>
          <w:rFonts w:ascii="Arial" w:hAnsi="Arial" w:cs="Arial"/>
        </w:rPr>
        <w:t>PRICING ISSUES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_Toc288225439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14</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8.</w:t>
      </w:r>
      <w:r w:rsidRPr="0099324F">
        <w:rPr>
          <w:rFonts w:ascii="Arial" w:eastAsiaTheme="minorEastAsia" w:hAnsi="Arial" w:cs="Arial"/>
          <w:sz w:val="22"/>
          <w:szCs w:val="22"/>
        </w:rPr>
        <w:tab/>
      </w:r>
      <w:r w:rsidRPr="0099324F">
        <w:rPr>
          <w:rFonts w:ascii="Arial" w:hAnsi="Arial" w:cs="Arial"/>
        </w:rPr>
        <w:t>COMMUNITY SERVICE REQUIREMENT</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_Toc288225440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14</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9.</w:t>
      </w:r>
      <w:r w:rsidRPr="0099324F">
        <w:rPr>
          <w:rFonts w:ascii="Arial" w:eastAsiaTheme="minorEastAsia" w:hAnsi="Arial" w:cs="Arial"/>
          <w:sz w:val="22"/>
          <w:szCs w:val="22"/>
        </w:rPr>
        <w:tab/>
      </w:r>
      <w:r w:rsidRPr="0099324F">
        <w:rPr>
          <w:rFonts w:ascii="Arial" w:hAnsi="Arial" w:cs="Arial"/>
        </w:rPr>
        <w:t>ACCOUNTING POLICIES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_Toc288225441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14</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10.</w:t>
      </w:r>
      <w:r w:rsidRPr="0099324F">
        <w:rPr>
          <w:rFonts w:ascii="Arial" w:eastAsiaTheme="minorEastAsia" w:hAnsi="Arial" w:cs="Arial"/>
          <w:sz w:val="22"/>
          <w:szCs w:val="22"/>
        </w:rPr>
        <w:tab/>
      </w:r>
      <w:r w:rsidRPr="0099324F">
        <w:rPr>
          <w:rFonts w:ascii="Arial" w:hAnsi="Arial" w:cs="Arial"/>
        </w:rPr>
        <w:t>DISTRIBUTION POLICY AND TARGETS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_Toc288225442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19</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11.</w:t>
      </w:r>
      <w:r w:rsidRPr="0099324F">
        <w:rPr>
          <w:rFonts w:ascii="Arial" w:eastAsiaTheme="minorEastAsia" w:hAnsi="Arial" w:cs="Arial"/>
          <w:sz w:val="22"/>
          <w:szCs w:val="22"/>
        </w:rPr>
        <w:tab/>
      </w:r>
      <w:r w:rsidRPr="0099324F">
        <w:rPr>
          <w:rFonts w:ascii="Arial" w:hAnsi="Arial" w:cs="Arial"/>
        </w:rPr>
        <w:t>FINANCIAL PLAN</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_Toc288225443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19</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12.</w:t>
      </w:r>
      <w:r w:rsidRPr="0099324F">
        <w:rPr>
          <w:rFonts w:ascii="Arial" w:eastAsiaTheme="minorEastAsia" w:hAnsi="Arial" w:cs="Arial"/>
          <w:sz w:val="22"/>
          <w:szCs w:val="22"/>
        </w:rPr>
        <w:tab/>
      </w:r>
      <w:r w:rsidRPr="0099324F">
        <w:rPr>
          <w:rFonts w:ascii="Arial" w:hAnsi="Arial" w:cs="Arial"/>
        </w:rPr>
        <w:t>CAPITAL EXPENDITURE PLAN</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_Toc288225444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19</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13.</w:t>
      </w:r>
      <w:r w:rsidRPr="0099324F">
        <w:rPr>
          <w:rFonts w:ascii="Arial" w:eastAsiaTheme="minorEastAsia" w:hAnsi="Arial" w:cs="Arial"/>
          <w:sz w:val="22"/>
          <w:szCs w:val="22"/>
        </w:rPr>
        <w:tab/>
      </w:r>
      <w:r w:rsidRPr="0099324F">
        <w:rPr>
          <w:rFonts w:ascii="Arial" w:hAnsi="Arial" w:cs="Arial"/>
        </w:rPr>
        <w:t>DEBT REDUCTION STRATEGY</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_Toc288225445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21</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14.</w:t>
      </w:r>
      <w:r w:rsidRPr="0099324F">
        <w:rPr>
          <w:rFonts w:ascii="Arial" w:eastAsiaTheme="minorEastAsia" w:hAnsi="Arial" w:cs="Arial"/>
          <w:sz w:val="22"/>
          <w:szCs w:val="22"/>
        </w:rPr>
        <w:tab/>
      </w:r>
      <w:r w:rsidRPr="0099324F">
        <w:rPr>
          <w:rFonts w:ascii="Arial" w:hAnsi="Arial" w:cs="Arial"/>
        </w:rPr>
        <w:t>KEY PERFORMANCE TARGETS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_Toc288225446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21</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15.</w:t>
      </w:r>
      <w:r w:rsidRPr="0099324F">
        <w:rPr>
          <w:rFonts w:ascii="Arial" w:eastAsiaTheme="minorEastAsia" w:hAnsi="Arial" w:cs="Arial"/>
          <w:sz w:val="22"/>
          <w:szCs w:val="22"/>
        </w:rPr>
        <w:tab/>
      </w:r>
      <w:r w:rsidRPr="0099324F">
        <w:rPr>
          <w:rFonts w:ascii="Arial" w:hAnsi="Arial" w:cs="Arial"/>
        </w:rPr>
        <w:t>MARKETING PLAN</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_Toc288225447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21</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16.</w:t>
      </w:r>
      <w:r w:rsidRPr="0099324F">
        <w:rPr>
          <w:rFonts w:ascii="Arial" w:eastAsiaTheme="minorEastAsia" w:hAnsi="Arial" w:cs="Arial"/>
          <w:sz w:val="22"/>
          <w:szCs w:val="22"/>
        </w:rPr>
        <w:tab/>
      </w:r>
      <w:r w:rsidRPr="0099324F">
        <w:rPr>
          <w:rFonts w:ascii="Arial" w:hAnsi="Arial" w:cs="Arial"/>
        </w:rPr>
        <w:t>HUMAN RESOURCE PLAN</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_Toc288225448 \h </w:instrText>
      </w:r>
      <w:r w:rsidR="009525BE" w:rsidRPr="0099324F">
        <w:rPr>
          <w:rFonts w:ascii="Arial" w:hAnsi="Arial" w:cs="Arial"/>
        </w:rPr>
      </w:r>
      <w:r w:rsidR="009525BE" w:rsidRPr="0099324F">
        <w:rPr>
          <w:rFonts w:ascii="Arial" w:hAnsi="Arial" w:cs="Arial"/>
        </w:rPr>
        <w:fldChar w:fldCharType="separate"/>
      </w:r>
      <w:r w:rsidR="004E4F11">
        <w:rPr>
          <w:rFonts w:ascii="Arial" w:hAnsi="Arial" w:cs="Arial"/>
        </w:rPr>
        <w:t>21</w:t>
      </w:r>
      <w:r w:rsidR="009525BE" w:rsidRPr="0099324F">
        <w:rPr>
          <w:rFonts w:ascii="Arial" w:hAnsi="Arial" w:cs="Arial"/>
        </w:rPr>
        <w:fldChar w:fldCharType="end"/>
      </w:r>
    </w:p>
    <w:p w:rsidR="00F35C0F" w:rsidRPr="009368FA" w:rsidRDefault="009525BE" w:rsidP="0099324F">
      <w:pPr>
        <w:pStyle w:val="Footer"/>
        <w:tabs>
          <w:tab w:val="clear" w:pos="4153"/>
          <w:tab w:val="clear" w:pos="8306"/>
          <w:tab w:val="left" w:pos="567"/>
          <w:tab w:val="right" w:leader="dot" w:pos="9360"/>
        </w:tabs>
        <w:spacing w:before="120" w:after="120"/>
        <w:rPr>
          <w:rFonts w:ascii="Arial" w:hAnsi="Arial" w:cs="Arial"/>
          <w:szCs w:val="24"/>
        </w:rPr>
      </w:pPr>
      <w:r w:rsidRPr="0099324F">
        <w:rPr>
          <w:rFonts w:ascii="Arial" w:hAnsi="Arial" w:cs="Arial"/>
          <w:szCs w:val="24"/>
        </w:rPr>
        <w:fldChar w:fldCharType="end"/>
      </w:r>
      <w:r w:rsidR="00F35C0F" w:rsidRPr="009368FA">
        <w:rPr>
          <w:rFonts w:ascii="Arial" w:hAnsi="Arial" w:cs="Arial"/>
          <w:szCs w:val="24"/>
        </w:rPr>
        <w:t>Annex A     Financial Plan -</w:t>
      </w:r>
      <w:r w:rsidR="00B92724">
        <w:rPr>
          <w:rFonts w:ascii="Arial" w:hAnsi="Arial" w:cs="Arial"/>
          <w:szCs w:val="24"/>
        </w:rPr>
        <w:t>Income Statement</w:t>
      </w:r>
      <w:r w:rsidR="00D33D76">
        <w:rPr>
          <w:rFonts w:ascii="Arial" w:hAnsi="Arial" w:cs="Arial"/>
          <w:szCs w:val="24"/>
        </w:rPr>
        <w:tab/>
      </w:r>
      <w:r w:rsidR="00CB11B1">
        <w:rPr>
          <w:rFonts w:ascii="Arial" w:hAnsi="Arial" w:cs="Arial"/>
          <w:szCs w:val="24"/>
        </w:rPr>
        <w:t>23</w:t>
      </w:r>
    </w:p>
    <w:p w:rsidR="00F35C0F" w:rsidRPr="009368FA" w:rsidRDefault="00F35C0F" w:rsidP="009941A8">
      <w:pPr>
        <w:pStyle w:val="TOC2"/>
        <w:spacing w:after="120"/>
        <w:rPr>
          <w:rFonts w:ascii="Arial" w:hAnsi="Arial" w:cs="Arial"/>
          <w:sz w:val="24"/>
          <w:szCs w:val="24"/>
        </w:rPr>
      </w:pPr>
      <w:r w:rsidRPr="009368FA">
        <w:rPr>
          <w:rFonts w:ascii="Arial" w:hAnsi="Arial" w:cs="Arial"/>
          <w:sz w:val="24"/>
          <w:szCs w:val="24"/>
        </w:rPr>
        <w:t xml:space="preserve">Annex B     Financial Plan - </w:t>
      </w:r>
      <w:r w:rsidR="00B92724">
        <w:rPr>
          <w:rFonts w:ascii="Arial" w:hAnsi="Arial" w:cs="Arial"/>
          <w:sz w:val="24"/>
          <w:szCs w:val="24"/>
        </w:rPr>
        <w:t>Balance Sheet</w:t>
      </w:r>
      <w:r w:rsidR="00D33D76">
        <w:rPr>
          <w:rFonts w:ascii="Arial" w:hAnsi="Arial" w:cs="Arial"/>
          <w:sz w:val="24"/>
          <w:szCs w:val="24"/>
        </w:rPr>
        <w:tab/>
      </w:r>
      <w:r w:rsidR="00CB11B1">
        <w:rPr>
          <w:rFonts w:ascii="Arial" w:hAnsi="Arial" w:cs="Arial"/>
          <w:sz w:val="24"/>
          <w:szCs w:val="24"/>
        </w:rPr>
        <w:t>24</w:t>
      </w:r>
    </w:p>
    <w:p w:rsidR="00F35C0F" w:rsidRPr="009368FA" w:rsidRDefault="00F35C0F" w:rsidP="009941A8">
      <w:pPr>
        <w:pStyle w:val="TOC2"/>
        <w:spacing w:after="120"/>
        <w:rPr>
          <w:rFonts w:ascii="Arial" w:hAnsi="Arial" w:cs="Arial"/>
          <w:sz w:val="24"/>
          <w:szCs w:val="24"/>
        </w:rPr>
      </w:pPr>
      <w:r w:rsidRPr="009368FA">
        <w:rPr>
          <w:rFonts w:ascii="Arial" w:hAnsi="Arial" w:cs="Arial"/>
          <w:sz w:val="24"/>
          <w:szCs w:val="24"/>
        </w:rPr>
        <w:t>Annex C     Financial Plan - Cash Flow Statemen</w:t>
      </w:r>
      <w:r w:rsidR="00260568" w:rsidRPr="009368FA">
        <w:rPr>
          <w:rFonts w:ascii="Arial" w:hAnsi="Arial" w:cs="Arial"/>
          <w:sz w:val="24"/>
          <w:szCs w:val="24"/>
        </w:rPr>
        <w:t>t</w:t>
      </w:r>
      <w:r w:rsidR="00D33D76">
        <w:rPr>
          <w:rFonts w:ascii="Arial" w:hAnsi="Arial" w:cs="Arial"/>
          <w:sz w:val="24"/>
          <w:szCs w:val="24"/>
        </w:rPr>
        <w:tab/>
      </w:r>
      <w:r w:rsidR="00CB11B1">
        <w:rPr>
          <w:rFonts w:ascii="Arial" w:hAnsi="Arial" w:cs="Arial"/>
          <w:sz w:val="24"/>
          <w:szCs w:val="24"/>
        </w:rPr>
        <w:t>25</w:t>
      </w:r>
    </w:p>
    <w:p w:rsidR="00F35C0F" w:rsidRPr="009368FA" w:rsidRDefault="00F35C0F" w:rsidP="009941A8">
      <w:pPr>
        <w:pStyle w:val="TOC2"/>
        <w:spacing w:after="120"/>
        <w:rPr>
          <w:rFonts w:ascii="Arial" w:hAnsi="Arial" w:cs="Arial"/>
          <w:sz w:val="24"/>
          <w:szCs w:val="24"/>
        </w:rPr>
      </w:pPr>
      <w:r w:rsidRPr="009368FA">
        <w:rPr>
          <w:rFonts w:ascii="Arial" w:hAnsi="Arial" w:cs="Arial"/>
          <w:sz w:val="24"/>
          <w:szCs w:val="24"/>
        </w:rPr>
        <w:t>Annex D     Financi</w:t>
      </w:r>
      <w:r w:rsidR="00260568" w:rsidRPr="009368FA">
        <w:rPr>
          <w:rFonts w:ascii="Arial" w:hAnsi="Arial" w:cs="Arial"/>
          <w:sz w:val="24"/>
          <w:szCs w:val="24"/>
        </w:rPr>
        <w:t>al Plan - Capital Expenditure</w:t>
      </w:r>
      <w:r w:rsidR="00D33D76">
        <w:rPr>
          <w:rFonts w:ascii="Arial" w:hAnsi="Arial" w:cs="Arial"/>
          <w:sz w:val="24"/>
          <w:szCs w:val="24"/>
        </w:rPr>
        <w:tab/>
      </w:r>
      <w:r w:rsidR="00CB11B1">
        <w:rPr>
          <w:rFonts w:ascii="Arial" w:hAnsi="Arial" w:cs="Arial"/>
          <w:sz w:val="24"/>
          <w:szCs w:val="24"/>
        </w:rPr>
        <w:t>26</w:t>
      </w:r>
    </w:p>
    <w:p w:rsidR="00F35C0F" w:rsidRPr="009368FA" w:rsidRDefault="00F35C0F" w:rsidP="009941A8">
      <w:pPr>
        <w:pStyle w:val="Footer"/>
        <w:tabs>
          <w:tab w:val="clear" w:pos="4153"/>
          <w:tab w:val="clear" w:pos="8306"/>
          <w:tab w:val="left" w:pos="567"/>
          <w:tab w:val="right" w:leader="dot" w:pos="9356"/>
        </w:tabs>
        <w:spacing w:after="120"/>
        <w:rPr>
          <w:rFonts w:ascii="Arial" w:hAnsi="Arial" w:cs="Arial"/>
          <w:szCs w:val="24"/>
        </w:rPr>
      </w:pPr>
      <w:r w:rsidRPr="009368FA">
        <w:rPr>
          <w:rFonts w:ascii="Arial" w:hAnsi="Arial" w:cs="Arial"/>
          <w:szCs w:val="24"/>
        </w:rPr>
        <w:t>Annex E</w:t>
      </w:r>
      <w:bookmarkStart w:id="1" w:name="_Toc509828786"/>
      <w:r w:rsidR="003B3072" w:rsidRPr="009368FA">
        <w:rPr>
          <w:rFonts w:ascii="Arial" w:hAnsi="Arial" w:cs="Arial"/>
          <w:szCs w:val="24"/>
        </w:rPr>
        <w:t xml:space="preserve">     </w:t>
      </w:r>
      <w:r w:rsidR="006B757D" w:rsidRPr="009368FA">
        <w:rPr>
          <w:rFonts w:ascii="Arial" w:hAnsi="Arial" w:cs="Arial"/>
          <w:szCs w:val="24"/>
        </w:rPr>
        <w:t xml:space="preserve"> </w:t>
      </w:r>
      <w:r w:rsidR="00D95D9B" w:rsidRPr="009368FA">
        <w:rPr>
          <w:rFonts w:ascii="Arial" w:hAnsi="Arial" w:cs="Arial"/>
          <w:szCs w:val="24"/>
        </w:rPr>
        <w:t>Key Performance Targets</w:t>
      </w:r>
      <w:r w:rsidR="00D33D76">
        <w:rPr>
          <w:rFonts w:ascii="Arial" w:hAnsi="Arial" w:cs="Arial"/>
          <w:szCs w:val="24"/>
        </w:rPr>
        <w:tab/>
      </w:r>
      <w:r w:rsidR="00AF245B">
        <w:rPr>
          <w:rFonts w:ascii="Arial" w:hAnsi="Arial" w:cs="Arial"/>
          <w:szCs w:val="24"/>
        </w:rPr>
        <w:t>2</w:t>
      </w:r>
      <w:r w:rsidR="00CB11B1">
        <w:rPr>
          <w:rFonts w:ascii="Arial" w:hAnsi="Arial" w:cs="Arial"/>
          <w:szCs w:val="24"/>
        </w:rPr>
        <w:t>7</w:t>
      </w:r>
    </w:p>
    <w:p w:rsidR="009E07BA" w:rsidRPr="008047D6" w:rsidRDefault="00364FBE" w:rsidP="009F76FE">
      <w:pPr>
        <w:pStyle w:val="Heading1"/>
        <w:spacing w:before="360" w:after="240"/>
        <w:rPr>
          <w:rFonts w:ascii="Arial" w:hAnsi="Arial" w:cs="Arial"/>
          <w:bCs/>
          <w:sz w:val="22"/>
          <w:szCs w:val="22"/>
        </w:rPr>
      </w:pPr>
      <w:r>
        <w:rPr>
          <w:rFonts w:ascii="Arial" w:hAnsi="Arial" w:cs="Arial"/>
          <w:bCs/>
          <w:sz w:val="22"/>
          <w:szCs w:val="22"/>
        </w:rPr>
        <w:br w:type="page"/>
      </w:r>
      <w:bookmarkStart w:id="2" w:name="_Toc288225427"/>
      <w:r w:rsidR="009E07BA" w:rsidRPr="008047D6">
        <w:rPr>
          <w:rFonts w:ascii="Arial" w:hAnsi="Arial" w:cs="Arial"/>
          <w:bCs/>
          <w:sz w:val="22"/>
          <w:szCs w:val="22"/>
        </w:rPr>
        <w:t>1.</w:t>
      </w:r>
      <w:r w:rsidR="009E07BA" w:rsidRPr="008047D6">
        <w:rPr>
          <w:rFonts w:ascii="Arial" w:hAnsi="Arial" w:cs="Arial"/>
          <w:bCs/>
          <w:sz w:val="22"/>
          <w:szCs w:val="22"/>
        </w:rPr>
        <w:tab/>
        <w:t>EXECUTIVE SUMMARY</w:t>
      </w:r>
      <w:bookmarkEnd w:id="0"/>
      <w:bookmarkEnd w:id="1"/>
      <w:bookmarkEnd w:id="2"/>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The State Fire Commission’s</w:t>
      </w:r>
      <w:r w:rsidR="00146F35" w:rsidRPr="008047D6">
        <w:rPr>
          <w:rFonts w:ascii="Arial" w:hAnsi="Arial" w:cs="Arial"/>
          <w:sz w:val="22"/>
          <w:szCs w:val="22"/>
        </w:rPr>
        <w:t xml:space="preserve"> (</w:t>
      </w:r>
      <w:smartTag w:uri="urn:schemas-microsoft-com:office:smarttags" w:element="stockticker">
        <w:r w:rsidR="001E1733">
          <w:rPr>
            <w:rFonts w:ascii="Arial" w:hAnsi="Arial" w:cs="Arial"/>
            <w:sz w:val="22"/>
            <w:szCs w:val="22"/>
          </w:rPr>
          <w:t>SFC</w:t>
        </w:r>
      </w:smartTag>
      <w:r w:rsidR="00146F35" w:rsidRPr="008047D6">
        <w:rPr>
          <w:rFonts w:ascii="Arial" w:hAnsi="Arial" w:cs="Arial"/>
          <w:sz w:val="22"/>
          <w:szCs w:val="22"/>
        </w:rPr>
        <w:t>)</w:t>
      </w:r>
      <w:r w:rsidRPr="008047D6">
        <w:rPr>
          <w:rFonts w:ascii="Arial" w:hAnsi="Arial" w:cs="Arial"/>
          <w:sz w:val="22"/>
          <w:szCs w:val="22"/>
        </w:rPr>
        <w:t xml:space="preserve"> Statement of Corporate Intent has been prepared in accordance with Section 73G of the </w:t>
      </w:r>
      <w:r w:rsidRPr="008047D6">
        <w:rPr>
          <w:rFonts w:ascii="Arial" w:hAnsi="Arial" w:cs="Arial"/>
          <w:i/>
          <w:sz w:val="22"/>
          <w:szCs w:val="22"/>
        </w:rPr>
        <w:t>Fire Service Act 1979</w:t>
      </w:r>
      <w:r w:rsidRPr="008047D6">
        <w:rPr>
          <w:rFonts w:ascii="Arial" w:hAnsi="Arial" w:cs="Arial"/>
          <w:sz w:val="22"/>
          <w:szCs w:val="22"/>
        </w:rPr>
        <w:t xml:space="preserve"> and summarises the Commission’s objectives for the period covered by the corporate plan.</w:t>
      </w:r>
    </w:p>
    <w:p w:rsidR="009E07BA" w:rsidRPr="008047D6" w:rsidRDefault="009E07BA" w:rsidP="00471D55">
      <w:pPr>
        <w:pStyle w:val="Heading9"/>
        <w:spacing w:before="240" w:after="120"/>
        <w:rPr>
          <w:rFonts w:ascii="Arial" w:hAnsi="Arial" w:cs="Arial"/>
          <w:sz w:val="22"/>
          <w:szCs w:val="22"/>
        </w:rPr>
      </w:pPr>
      <w:r w:rsidRPr="008047D6">
        <w:rPr>
          <w:rFonts w:ascii="Arial" w:hAnsi="Arial" w:cs="Arial"/>
          <w:sz w:val="22"/>
          <w:szCs w:val="22"/>
        </w:rPr>
        <w:t>Business Definition</w:t>
      </w:r>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 xml:space="preserve">The Commission’s primary purpose is to minimise the social, economic and environmental impact of fire on the Tasmanian community. This </w:t>
      </w:r>
      <w:r w:rsidR="000B4132">
        <w:rPr>
          <w:rFonts w:ascii="Arial" w:hAnsi="Arial" w:cs="Arial"/>
          <w:sz w:val="22"/>
          <w:szCs w:val="22"/>
        </w:rPr>
        <w:t>will be achieved through Tasmania Fire Service (</w:t>
      </w:r>
      <w:smartTag w:uri="urn:schemas-microsoft-com:office:smarttags" w:element="stockticker">
        <w:r w:rsidR="000B4132">
          <w:rPr>
            <w:rFonts w:ascii="Arial" w:hAnsi="Arial" w:cs="Arial"/>
            <w:sz w:val="22"/>
            <w:szCs w:val="22"/>
          </w:rPr>
          <w:t>TFS</w:t>
        </w:r>
      </w:smartTag>
      <w:r w:rsidR="000B4132">
        <w:rPr>
          <w:rFonts w:ascii="Arial" w:hAnsi="Arial" w:cs="Arial"/>
          <w:sz w:val="22"/>
          <w:szCs w:val="22"/>
        </w:rPr>
        <w:t xml:space="preserve">) implementing strategies to develop </w:t>
      </w:r>
      <w:r w:rsidR="00F20451">
        <w:rPr>
          <w:rFonts w:ascii="Arial" w:hAnsi="Arial" w:cs="Arial"/>
          <w:sz w:val="22"/>
          <w:szCs w:val="22"/>
        </w:rPr>
        <w:t>community self reliance</w:t>
      </w:r>
      <w:r w:rsidR="000B4132">
        <w:rPr>
          <w:rFonts w:ascii="Arial" w:hAnsi="Arial" w:cs="Arial"/>
          <w:sz w:val="22"/>
          <w:szCs w:val="22"/>
        </w:rPr>
        <w:t xml:space="preserve"> to prevent and prepare for fires</w:t>
      </w:r>
      <w:r w:rsidR="00F20451">
        <w:rPr>
          <w:rFonts w:ascii="Arial" w:hAnsi="Arial" w:cs="Arial"/>
          <w:sz w:val="22"/>
          <w:szCs w:val="22"/>
        </w:rPr>
        <w:t xml:space="preserve">, supported by </w:t>
      </w:r>
      <w:r w:rsidRPr="008047D6">
        <w:rPr>
          <w:rFonts w:ascii="Arial" w:hAnsi="Arial" w:cs="Arial"/>
          <w:sz w:val="22"/>
          <w:szCs w:val="22"/>
        </w:rPr>
        <w:t xml:space="preserve">a </w:t>
      </w:r>
      <w:r w:rsidR="00E220FB">
        <w:rPr>
          <w:rFonts w:ascii="Arial" w:hAnsi="Arial" w:cs="Arial"/>
          <w:sz w:val="22"/>
          <w:szCs w:val="22"/>
        </w:rPr>
        <w:t>timely</w:t>
      </w:r>
      <w:r w:rsidR="00E220FB" w:rsidRPr="008047D6">
        <w:rPr>
          <w:rFonts w:ascii="Arial" w:hAnsi="Arial" w:cs="Arial"/>
          <w:sz w:val="22"/>
          <w:szCs w:val="22"/>
        </w:rPr>
        <w:t xml:space="preserve"> </w:t>
      </w:r>
      <w:r w:rsidRPr="008047D6">
        <w:rPr>
          <w:rFonts w:ascii="Arial" w:hAnsi="Arial" w:cs="Arial"/>
          <w:sz w:val="22"/>
          <w:szCs w:val="22"/>
        </w:rPr>
        <w:t>and effective response to emergencies</w:t>
      </w:r>
      <w:r w:rsidR="000350FA">
        <w:rPr>
          <w:rFonts w:ascii="Arial" w:hAnsi="Arial" w:cs="Arial"/>
          <w:sz w:val="22"/>
          <w:szCs w:val="22"/>
        </w:rPr>
        <w:t>.</w:t>
      </w:r>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 xml:space="preserve">The </w:t>
      </w:r>
      <w:smartTag w:uri="urn:schemas-microsoft-com:office:smarttags" w:element="stockticker">
        <w:r w:rsidR="000B4132">
          <w:rPr>
            <w:rFonts w:ascii="Arial" w:hAnsi="Arial" w:cs="Arial"/>
            <w:sz w:val="22"/>
            <w:szCs w:val="22"/>
          </w:rPr>
          <w:t>TFS</w:t>
        </w:r>
      </w:smartTag>
      <w:r w:rsidR="000B4132" w:rsidRPr="008047D6">
        <w:rPr>
          <w:rFonts w:ascii="Arial" w:hAnsi="Arial" w:cs="Arial"/>
          <w:sz w:val="22"/>
          <w:szCs w:val="22"/>
        </w:rPr>
        <w:t xml:space="preserve"> </w:t>
      </w:r>
      <w:r w:rsidRPr="008047D6">
        <w:rPr>
          <w:rFonts w:ascii="Arial" w:hAnsi="Arial" w:cs="Arial"/>
          <w:sz w:val="22"/>
          <w:szCs w:val="22"/>
        </w:rPr>
        <w:t xml:space="preserve">is also responsible for </w:t>
      </w:r>
      <w:r w:rsidR="00E326C5" w:rsidRPr="008047D6">
        <w:rPr>
          <w:rFonts w:ascii="Arial" w:hAnsi="Arial" w:cs="Arial"/>
          <w:sz w:val="22"/>
          <w:szCs w:val="22"/>
        </w:rPr>
        <w:t xml:space="preserve">road accident rescue in </w:t>
      </w:r>
      <w:r w:rsidR="000B4132">
        <w:rPr>
          <w:rFonts w:ascii="Arial" w:hAnsi="Arial" w:cs="Arial"/>
          <w:sz w:val="22"/>
          <w:szCs w:val="22"/>
        </w:rPr>
        <w:t>assigned areas</w:t>
      </w:r>
      <w:r w:rsidR="00E326C5" w:rsidRPr="008047D6">
        <w:rPr>
          <w:rFonts w:ascii="Arial" w:hAnsi="Arial" w:cs="Arial"/>
          <w:sz w:val="22"/>
          <w:szCs w:val="22"/>
        </w:rPr>
        <w:t xml:space="preserve">, </w:t>
      </w:r>
      <w:r w:rsidRPr="008047D6">
        <w:rPr>
          <w:rFonts w:ascii="Arial" w:hAnsi="Arial" w:cs="Arial"/>
          <w:sz w:val="22"/>
          <w:szCs w:val="22"/>
        </w:rPr>
        <w:t>managing incidents involving hazardous materials</w:t>
      </w:r>
      <w:r w:rsidR="00440B7D" w:rsidRPr="008047D6">
        <w:rPr>
          <w:rFonts w:ascii="Arial" w:hAnsi="Arial" w:cs="Arial"/>
          <w:sz w:val="22"/>
          <w:szCs w:val="22"/>
        </w:rPr>
        <w:t xml:space="preserve">, </w:t>
      </w:r>
      <w:r w:rsidR="000B4132">
        <w:rPr>
          <w:rFonts w:ascii="Arial" w:hAnsi="Arial" w:cs="Arial"/>
          <w:sz w:val="22"/>
          <w:szCs w:val="22"/>
        </w:rPr>
        <w:t xml:space="preserve">undertaking </w:t>
      </w:r>
      <w:r w:rsidR="00440B7D" w:rsidRPr="008047D6">
        <w:rPr>
          <w:rFonts w:ascii="Arial" w:hAnsi="Arial" w:cs="Arial"/>
          <w:sz w:val="22"/>
          <w:szCs w:val="22"/>
        </w:rPr>
        <w:t>urban search and rescue (USAR)</w:t>
      </w:r>
      <w:r w:rsidR="000B4132">
        <w:rPr>
          <w:rFonts w:ascii="Arial" w:hAnsi="Arial" w:cs="Arial"/>
          <w:sz w:val="22"/>
          <w:szCs w:val="22"/>
        </w:rPr>
        <w:t>,</w:t>
      </w:r>
      <w:r w:rsidR="00440B7D" w:rsidRPr="008047D6">
        <w:rPr>
          <w:rFonts w:ascii="Arial" w:hAnsi="Arial" w:cs="Arial"/>
          <w:sz w:val="22"/>
          <w:szCs w:val="22"/>
        </w:rPr>
        <w:t xml:space="preserve"> and providing a response to terrorist incidents involving chemical, biological and radiological </w:t>
      </w:r>
      <w:r w:rsidR="00980AE7" w:rsidRPr="008047D6">
        <w:rPr>
          <w:rFonts w:ascii="Arial" w:hAnsi="Arial" w:cs="Arial"/>
          <w:sz w:val="22"/>
          <w:szCs w:val="22"/>
        </w:rPr>
        <w:t>agents</w:t>
      </w:r>
      <w:r w:rsidRPr="008047D6">
        <w:rPr>
          <w:rFonts w:ascii="Arial" w:hAnsi="Arial" w:cs="Arial"/>
          <w:sz w:val="22"/>
          <w:szCs w:val="22"/>
        </w:rPr>
        <w:t>.</w:t>
      </w:r>
    </w:p>
    <w:p w:rsidR="009E07BA" w:rsidRPr="008047D6" w:rsidRDefault="009E07BA" w:rsidP="00471D55">
      <w:pPr>
        <w:pStyle w:val="Heading9"/>
        <w:tabs>
          <w:tab w:val="clear" w:pos="709"/>
        </w:tabs>
        <w:spacing w:before="240" w:after="120"/>
        <w:rPr>
          <w:rFonts w:ascii="Arial" w:hAnsi="Arial" w:cs="Arial"/>
          <w:sz w:val="22"/>
          <w:szCs w:val="22"/>
        </w:rPr>
      </w:pPr>
      <w:r w:rsidRPr="008047D6">
        <w:rPr>
          <w:rFonts w:ascii="Arial" w:hAnsi="Arial" w:cs="Arial"/>
          <w:sz w:val="22"/>
          <w:szCs w:val="22"/>
        </w:rPr>
        <w:t>Strategic Direction</w:t>
      </w:r>
    </w:p>
    <w:p w:rsidR="009E07BA" w:rsidRPr="008047D6" w:rsidRDefault="009E07BA" w:rsidP="009E07BA">
      <w:pPr>
        <w:pStyle w:val="BodyText"/>
        <w:keepNext w:val="0"/>
        <w:keepLines w:val="0"/>
        <w:spacing w:after="120"/>
        <w:rPr>
          <w:rFonts w:ascii="Arial" w:hAnsi="Arial" w:cs="Arial"/>
          <w:sz w:val="22"/>
          <w:szCs w:val="22"/>
        </w:rPr>
      </w:pPr>
      <w:r w:rsidRPr="008047D6">
        <w:rPr>
          <w:rFonts w:ascii="Arial" w:hAnsi="Arial" w:cs="Arial"/>
          <w:sz w:val="22"/>
          <w:szCs w:val="22"/>
        </w:rPr>
        <w:t xml:space="preserve">The Commission has a number of long term goals and objectives. The major emphasis is: </w:t>
      </w:r>
    </w:p>
    <w:p w:rsidR="009E07BA" w:rsidRPr="008047D6" w:rsidRDefault="008D2F2B" w:rsidP="0083415A">
      <w:pPr>
        <w:numPr>
          <w:ilvl w:val="0"/>
          <w:numId w:val="5"/>
        </w:numPr>
        <w:tabs>
          <w:tab w:val="clear" w:pos="360"/>
          <w:tab w:val="num" w:pos="567"/>
        </w:tabs>
        <w:spacing w:after="160"/>
        <w:ind w:left="567" w:hanging="567"/>
        <w:rPr>
          <w:rFonts w:ascii="Arial" w:hAnsi="Arial" w:cs="Arial"/>
          <w:b/>
          <w:sz w:val="22"/>
          <w:szCs w:val="22"/>
        </w:rPr>
      </w:pPr>
      <w:r>
        <w:rPr>
          <w:rFonts w:ascii="Arial" w:hAnsi="Arial" w:cs="Arial"/>
          <w:b/>
          <w:sz w:val="22"/>
          <w:szCs w:val="22"/>
        </w:rPr>
        <w:t xml:space="preserve">Building community capacity to prevent, prepare for and respond </w:t>
      </w:r>
      <w:r w:rsidR="00E5050F">
        <w:rPr>
          <w:rFonts w:ascii="Arial" w:hAnsi="Arial" w:cs="Arial"/>
          <w:b/>
          <w:sz w:val="22"/>
          <w:szCs w:val="22"/>
        </w:rPr>
        <w:t xml:space="preserve">to fires </w:t>
      </w:r>
      <w:r w:rsidR="000350FA">
        <w:rPr>
          <w:rFonts w:ascii="Arial" w:hAnsi="Arial" w:cs="Arial"/>
          <w:b/>
          <w:sz w:val="22"/>
          <w:szCs w:val="22"/>
        </w:rPr>
        <w:t>safely when</w:t>
      </w:r>
      <w:r w:rsidR="00E5050F">
        <w:rPr>
          <w:rFonts w:ascii="Arial" w:hAnsi="Arial" w:cs="Arial"/>
          <w:b/>
          <w:sz w:val="22"/>
          <w:szCs w:val="22"/>
        </w:rPr>
        <w:t xml:space="preserve"> they occur</w:t>
      </w:r>
      <w:r w:rsidR="009E07BA" w:rsidRPr="008047D6">
        <w:rPr>
          <w:rFonts w:ascii="Arial" w:hAnsi="Arial" w:cs="Arial"/>
          <w:b/>
          <w:sz w:val="22"/>
          <w:szCs w:val="22"/>
        </w:rPr>
        <w:t>.</w:t>
      </w:r>
    </w:p>
    <w:p w:rsidR="009E07BA" w:rsidRPr="008047D6" w:rsidRDefault="009E07BA" w:rsidP="009E07BA">
      <w:pPr>
        <w:numPr>
          <w:ilvl w:val="12"/>
          <w:numId w:val="0"/>
        </w:numPr>
        <w:tabs>
          <w:tab w:val="num" w:pos="567"/>
        </w:tabs>
        <w:spacing w:after="240"/>
        <w:ind w:left="567" w:hanging="567"/>
        <w:jc w:val="both"/>
        <w:rPr>
          <w:rFonts w:ascii="Arial" w:hAnsi="Arial" w:cs="Arial"/>
          <w:sz w:val="22"/>
          <w:szCs w:val="22"/>
        </w:rPr>
      </w:pPr>
      <w:r w:rsidRPr="008047D6">
        <w:rPr>
          <w:rFonts w:ascii="Arial" w:hAnsi="Arial" w:cs="Arial"/>
          <w:sz w:val="22"/>
          <w:szCs w:val="22"/>
        </w:rPr>
        <w:tab/>
        <w:t xml:space="preserve">The Commission </w:t>
      </w:r>
      <w:r w:rsidR="008D2F2B">
        <w:rPr>
          <w:rFonts w:ascii="Arial" w:hAnsi="Arial" w:cs="Arial"/>
          <w:sz w:val="22"/>
          <w:szCs w:val="22"/>
        </w:rPr>
        <w:t xml:space="preserve">seeks to deliver fire safety programs that support and encourage community self reliance. </w:t>
      </w:r>
    </w:p>
    <w:p w:rsidR="008D2F2B" w:rsidRPr="008047D6" w:rsidRDefault="008D2F2B" w:rsidP="0083415A">
      <w:pPr>
        <w:numPr>
          <w:ilvl w:val="0"/>
          <w:numId w:val="5"/>
        </w:numPr>
        <w:tabs>
          <w:tab w:val="clear" w:pos="360"/>
          <w:tab w:val="num" w:pos="567"/>
        </w:tabs>
        <w:spacing w:after="160"/>
        <w:ind w:left="567" w:hanging="567"/>
        <w:jc w:val="both"/>
        <w:rPr>
          <w:rFonts w:ascii="Arial" w:hAnsi="Arial" w:cs="Arial"/>
          <w:b/>
          <w:sz w:val="22"/>
          <w:szCs w:val="22"/>
        </w:rPr>
      </w:pPr>
      <w:r w:rsidRPr="008047D6">
        <w:rPr>
          <w:rFonts w:ascii="Arial" w:hAnsi="Arial" w:cs="Arial"/>
          <w:b/>
          <w:sz w:val="22"/>
          <w:szCs w:val="22"/>
        </w:rPr>
        <w:t xml:space="preserve">Delivery of </w:t>
      </w:r>
      <w:r w:rsidR="00E5050F">
        <w:rPr>
          <w:rFonts w:ascii="Arial" w:hAnsi="Arial" w:cs="Arial"/>
          <w:b/>
          <w:sz w:val="22"/>
          <w:szCs w:val="22"/>
        </w:rPr>
        <w:t>a safe</w:t>
      </w:r>
      <w:r w:rsidR="004D454B">
        <w:rPr>
          <w:rFonts w:ascii="Arial" w:hAnsi="Arial" w:cs="Arial"/>
          <w:b/>
          <w:sz w:val="22"/>
          <w:szCs w:val="22"/>
        </w:rPr>
        <w:t xml:space="preserve">, </w:t>
      </w:r>
      <w:r w:rsidR="004D454B" w:rsidRPr="006C3469">
        <w:rPr>
          <w:rFonts w:ascii="Arial" w:hAnsi="Arial" w:cs="Arial"/>
          <w:b/>
          <w:sz w:val="22"/>
          <w:szCs w:val="22"/>
        </w:rPr>
        <w:t>timely</w:t>
      </w:r>
      <w:r w:rsidR="00E5050F">
        <w:rPr>
          <w:rFonts w:ascii="Arial" w:hAnsi="Arial" w:cs="Arial"/>
          <w:b/>
          <w:sz w:val="22"/>
          <w:szCs w:val="22"/>
        </w:rPr>
        <w:t xml:space="preserve"> and </w:t>
      </w:r>
      <w:r w:rsidRPr="008047D6">
        <w:rPr>
          <w:rFonts w:ascii="Arial" w:hAnsi="Arial" w:cs="Arial"/>
          <w:b/>
          <w:sz w:val="22"/>
          <w:szCs w:val="22"/>
        </w:rPr>
        <w:t>effective response to fires, hazardous materials incidents and other emergencies.</w:t>
      </w:r>
    </w:p>
    <w:p w:rsidR="008D2F2B" w:rsidRPr="008047D6" w:rsidRDefault="00E5050F" w:rsidP="00E5050F">
      <w:pPr>
        <w:numPr>
          <w:ilvl w:val="12"/>
          <w:numId w:val="0"/>
        </w:numPr>
        <w:tabs>
          <w:tab w:val="left" w:pos="567"/>
        </w:tabs>
        <w:spacing w:after="240"/>
        <w:ind w:left="567"/>
        <w:jc w:val="both"/>
        <w:rPr>
          <w:rFonts w:ascii="Arial" w:hAnsi="Arial" w:cs="Arial"/>
          <w:sz w:val="22"/>
          <w:szCs w:val="22"/>
        </w:rPr>
      </w:pPr>
      <w:r>
        <w:rPr>
          <w:rFonts w:ascii="Arial" w:hAnsi="Arial" w:cs="Arial"/>
          <w:sz w:val="22"/>
          <w:szCs w:val="22"/>
        </w:rPr>
        <w:t>Timely emergency response continues to be a major responsibility</w:t>
      </w:r>
      <w:r w:rsidR="008D2F2B" w:rsidRPr="008047D6">
        <w:rPr>
          <w:rFonts w:ascii="Arial" w:hAnsi="Arial" w:cs="Arial"/>
          <w:sz w:val="22"/>
          <w:szCs w:val="22"/>
        </w:rPr>
        <w:t xml:space="preserve">. </w:t>
      </w:r>
    </w:p>
    <w:p w:rsidR="00266D55" w:rsidRPr="001610A5" w:rsidRDefault="00266D55" w:rsidP="0083415A">
      <w:pPr>
        <w:numPr>
          <w:ilvl w:val="0"/>
          <w:numId w:val="5"/>
        </w:numPr>
        <w:tabs>
          <w:tab w:val="clear" w:pos="360"/>
          <w:tab w:val="num" w:pos="567"/>
        </w:tabs>
        <w:spacing w:after="160"/>
        <w:ind w:left="567" w:hanging="567"/>
        <w:jc w:val="both"/>
        <w:rPr>
          <w:rFonts w:ascii="Arial" w:hAnsi="Arial" w:cs="Arial"/>
          <w:b/>
          <w:sz w:val="22"/>
          <w:szCs w:val="22"/>
        </w:rPr>
      </w:pPr>
      <w:r w:rsidRPr="001610A5">
        <w:rPr>
          <w:rFonts w:ascii="Arial" w:hAnsi="Arial" w:cs="Arial"/>
          <w:b/>
          <w:sz w:val="22"/>
          <w:szCs w:val="22"/>
        </w:rPr>
        <w:t>Ensur</w:t>
      </w:r>
      <w:r>
        <w:rPr>
          <w:rFonts w:ascii="Arial" w:hAnsi="Arial" w:cs="Arial"/>
          <w:b/>
          <w:sz w:val="22"/>
          <w:szCs w:val="22"/>
        </w:rPr>
        <w:t>ing</w:t>
      </w:r>
      <w:r w:rsidRPr="001610A5">
        <w:rPr>
          <w:rFonts w:ascii="Arial" w:hAnsi="Arial" w:cs="Arial"/>
          <w:b/>
          <w:sz w:val="22"/>
          <w:szCs w:val="22"/>
        </w:rPr>
        <w:t xml:space="preserve"> </w:t>
      </w:r>
      <w:r>
        <w:rPr>
          <w:rFonts w:ascii="Arial" w:hAnsi="Arial" w:cs="Arial"/>
          <w:b/>
          <w:sz w:val="22"/>
          <w:szCs w:val="22"/>
        </w:rPr>
        <w:t xml:space="preserve">that </w:t>
      </w:r>
      <w:r w:rsidRPr="001610A5">
        <w:rPr>
          <w:rFonts w:ascii="Arial" w:hAnsi="Arial" w:cs="Arial"/>
          <w:b/>
          <w:sz w:val="22"/>
          <w:szCs w:val="22"/>
        </w:rPr>
        <w:t xml:space="preserve">the </w:t>
      </w:r>
      <w:r w:rsidR="001E1733">
        <w:rPr>
          <w:rFonts w:ascii="Arial" w:hAnsi="Arial" w:cs="Arial"/>
          <w:b/>
          <w:sz w:val="22"/>
          <w:szCs w:val="22"/>
        </w:rPr>
        <w:t>Commission</w:t>
      </w:r>
      <w:r w:rsidRPr="001610A5">
        <w:rPr>
          <w:rFonts w:ascii="Arial" w:hAnsi="Arial" w:cs="Arial"/>
          <w:b/>
          <w:sz w:val="22"/>
          <w:szCs w:val="22"/>
        </w:rPr>
        <w:t xml:space="preserve"> and </w:t>
      </w:r>
      <w:smartTag w:uri="urn:schemas-microsoft-com:office:smarttags" w:element="stockticker">
        <w:r w:rsidRPr="001610A5">
          <w:rPr>
            <w:rFonts w:ascii="Arial" w:hAnsi="Arial" w:cs="Arial"/>
            <w:b/>
            <w:sz w:val="22"/>
            <w:szCs w:val="22"/>
          </w:rPr>
          <w:t>TFS</w:t>
        </w:r>
      </w:smartTag>
      <w:r w:rsidRPr="001610A5">
        <w:rPr>
          <w:rFonts w:ascii="Arial" w:hAnsi="Arial" w:cs="Arial"/>
          <w:b/>
          <w:sz w:val="22"/>
          <w:szCs w:val="22"/>
        </w:rPr>
        <w:t xml:space="preserve"> </w:t>
      </w:r>
      <w:r>
        <w:rPr>
          <w:rFonts w:ascii="Arial" w:hAnsi="Arial" w:cs="Arial"/>
          <w:b/>
          <w:sz w:val="22"/>
          <w:szCs w:val="22"/>
        </w:rPr>
        <w:t xml:space="preserve">both </w:t>
      </w:r>
      <w:r w:rsidRPr="001610A5">
        <w:rPr>
          <w:rFonts w:ascii="Arial" w:hAnsi="Arial" w:cs="Arial"/>
          <w:b/>
          <w:sz w:val="22"/>
          <w:szCs w:val="22"/>
        </w:rPr>
        <w:t xml:space="preserve">operate responsibly with regard to the community, our people and the environment. </w:t>
      </w:r>
    </w:p>
    <w:p w:rsidR="00266D55" w:rsidRDefault="00266D55" w:rsidP="00266D55">
      <w:pPr>
        <w:numPr>
          <w:ilvl w:val="12"/>
          <w:numId w:val="0"/>
        </w:numPr>
        <w:tabs>
          <w:tab w:val="num" w:pos="567"/>
        </w:tabs>
        <w:spacing w:after="240"/>
        <w:ind w:left="567"/>
        <w:jc w:val="both"/>
        <w:rPr>
          <w:rFonts w:ascii="Arial" w:hAnsi="Arial" w:cs="Arial"/>
          <w:sz w:val="22"/>
          <w:szCs w:val="22"/>
        </w:rPr>
      </w:pPr>
      <w:r>
        <w:rPr>
          <w:rFonts w:ascii="Arial" w:hAnsi="Arial" w:cs="Arial"/>
          <w:sz w:val="22"/>
          <w:szCs w:val="22"/>
        </w:rPr>
        <w:t xml:space="preserve">As a leading organisation with a physical presence in most Tasmanian communities, the </w:t>
      </w:r>
      <w:smartTag w:uri="urn:schemas-microsoft-com:office:smarttags" w:element="stockticker">
        <w:r>
          <w:rPr>
            <w:rFonts w:ascii="Arial" w:hAnsi="Arial" w:cs="Arial"/>
            <w:sz w:val="22"/>
            <w:szCs w:val="22"/>
          </w:rPr>
          <w:t>SFC</w:t>
        </w:r>
      </w:smartTag>
      <w:r>
        <w:rPr>
          <w:rFonts w:ascii="Arial" w:hAnsi="Arial" w:cs="Arial"/>
          <w:sz w:val="22"/>
          <w:szCs w:val="22"/>
        </w:rPr>
        <w:t xml:space="preserve"> recognises and acts upon its corporate and community responsibilities.</w:t>
      </w:r>
    </w:p>
    <w:p w:rsidR="009E07BA" w:rsidRPr="008047D6" w:rsidRDefault="00FF1495" w:rsidP="0083415A">
      <w:pPr>
        <w:numPr>
          <w:ilvl w:val="0"/>
          <w:numId w:val="5"/>
        </w:numPr>
        <w:tabs>
          <w:tab w:val="clear" w:pos="360"/>
          <w:tab w:val="num" w:pos="567"/>
        </w:tabs>
        <w:spacing w:after="160"/>
        <w:ind w:left="567" w:hanging="567"/>
        <w:jc w:val="both"/>
        <w:rPr>
          <w:rFonts w:ascii="Arial" w:hAnsi="Arial" w:cs="Arial"/>
          <w:b/>
          <w:sz w:val="22"/>
          <w:szCs w:val="22"/>
        </w:rPr>
      </w:pPr>
      <w:r w:rsidRPr="008047D6">
        <w:rPr>
          <w:rFonts w:ascii="Arial" w:hAnsi="Arial" w:cs="Arial"/>
          <w:b/>
          <w:sz w:val="22"/>
          <w:szCs w:val="22"/>
        </w:rPr>
        <w:t xml:space="preserve">Supporting our people in </w:t>
      </w:r>
      <w:r w:rsidR="00D67EE6" w:rsidRPr="008047D6">
        <w:rPr>
          <w:rFonts w:ascii="Arial" w:hAnsi="Arial" w:cs="Arial"/>
          <w:b/>
          <w:sz w:val="22"/>
          <w:szCs w:val="22"/>
        </w:rPr>
        <w:t xml:space="preserve">a </w:t>
      </w:r>
      <w:r w:rsidR="001610A5">
        <w:rPr>
          <w:rFonts w:ascii="Arial" w:hAnsi="Arial" w:cs="Arial"/>
          <w:b/>
          <w:sz w:val="22"/>
          <w:szCs w:val="22"/>
        </w:rPr>
        <w:t xml:space="preserve">safe, </w:t>
      </w:r>
      <w:r w:rsidR="00D67EE6" w:rsidRPr="008047D6">
        <w:rPr>
          <w:rFonts w:ascii="Arial" w:hAnsi="Arial" w:cs="Arial"/>
          <w:b/>
          <w:sz w:val="22"/>
          <w:szCs w:val="22"/>
        </w:rPr>
        <w:t>fair</w:t>
      </w:r>
      <w:r w:rsidRPr="008047D6">
        <w:rPr>
          <w:rFonts w:ascii="Arial" w:hAnsi="Arial" w:cs="Arial"/>
          <w:b/>
          <w:sz w:val="22"/>
          <w:szCs w:val="22"/>
        </w:rPr>
        <w:t xml:space="preserve"> </w:t>
      </w:r>
      <w:r w:rsidR="001610A5">
        <w:rPr>
          <w:rFonts w:ascii="Arial" w:hAnsi="Arial" w:cs="Arial"/>
          <w:b/>
          <w:sz w:val="22"/>
          <w:szCs w:val="22"/>
        </w:rPr>
        <w:t xml:space="preserve">and </w:t>
      </w:r>
      <w:r w:rsidRPr="008047D6">
        <w:rPr>
          <w:rFonts w:ascii="Arial" w:hAnsi="Arial" w:cs="Arial"/>
          <w:b/>
          <w:sz w:val="22"/>
          <w:szCs w:val="22"/>
        </w:rPr>
        <w:t>productive working environment</w:t>
      </w:r>
      <w:r w:rsidR="009E07BA" w:rsidRPr="008047D6">
        <w:rPr>
          <w:rFonts w:ascii="Arial" w:hAnsi="Arial" w:cs="Arial"/>
          <w:b/>
          <w:sz w:val="22"/>
          <w:szCs w:val="22"/>
        </w:rPr>
        <w:t xml:space="preserve">. </w:t>
      </w:r>
    </w:p>
    <w:p w:rsidR="009E07BA" w:rsidRPr="008047D6" w:rsidRDefault="009E07BA" w:rsidP="009E07BA">
      <w:pPr>
        <w:numPr>
          <w:ilvl w:val="12"/>
          <w:numId w:val="0"/>
        </w:numPr>
        <w:tabs>
          <w:tab w:val="num" w:pos="567"/>
        </w:tabs>
        <w:spacing w:after="240"/>
        <w:ind w:left="567" w:hanging="567"/>
        <w:jc w:val="both"/>
        <w:rPr>
          <w:rFonts w:ascii="Arial" w:hAnsi="Arial" w:cs="Arial"/>
          <w:sz w:val="22"/>
          <w:szCs w:val="22"/>
        </w:rPr>
      </w:pPr>
      <w:r w:rsidRPr="008047D6">
        <w:rPr>
          <w:rFonts w:ascii="Arial" w:hAnsi="Arial" w:cs="Arial"/>
          <w:sz w:val="22"/>
          <w:szCs w:val="22"/>
        </w:rPr>
        <w:tab/>
        <w:t>The Commission recognises the importance of its people in the successful achievement of its organisational goals.</w:t>
      </w:r>
    </w:p>
    <w:p w:rsidR="00F554E8" w:rsidRPr="008047D6" w:rsidRDefault="00F554E8" w:rsidP="0083415A">
      <w:pPr>
        <w:numPr>
          <w:ilvl w:val="0"/>
          <w:numId w:val="5"/>
        </w:numPr>
        <w:tabs>
          <w:tab w:val="clear" w:pos="360"/>
          <w:tab w:val="num" w:pos="567"/>
        </w:tabs>
        <w:spacing w:after="160"/>
        <w:ind w:left="567" w:hanging="567"/>
        <w:jc w:val="both"/>
        <w:rPr>
          <w:rFonts w:ascii="Arial" w:hAnsi="Arial" w:cs="Arial"/>
          <w:b/>
          <w:sz w:val="22"/>
          <w:szCs w:val="22"/>
        </w:rPr>
      </w:pPr>
      <w:r w:rsidRPr="008047D6">
        <w:rPr>
          <w:rFonts w:ascii="Arial" w:hAnsi="Arial" w:cs="Arial"/>
          <w:b/>
          <w:sz w:val="22"/>
          <w:szCs w:val="22"/>
        </w:rPr>
        <w:t xml:space="preserve">Managing our financial, information and physical resources in a planned, consistent and cost effective way. </w:t>
      </w:r>
    </w:p>
    <w:p w:rsidR="00F554E8" w:rsidRDefault="004C63EB" w:rsidP="00F554E8">
      <w:pPr>
        <w:numPr>
          <w:ilvl w:val="12"/>
          <w:numId w:val="0"/>
        </w:numPr>
        <w:tabs>
          <w:tab w:val="num" w:pos="567"/>
        </w:tabs>
        <w:spacing w:after="240"/>
        <w:ind w:left="567"/>
        <w:jc w:val="both"/>
        <w:rPr>
          <w:rFonts w:ascii="Arial" w:hAnsi="Arial" w:cs="Arial"/>
          <w:sz w:val="22"/>
          <w:szCs w:val="22"/>
        </w:rPr>
      </w:pPr>
      <w:r w:rsidRPr="008047D6">
        <w:rPr>
          <w:rFonts w:ascii="Arial" w:hAnsi="Arial" w:cs="Arial"/>
          <w:sz w:val="22"/>
          <w:szCs w:val="22"/>
        </w:rPr>
        <w:t>Significant emphasis is placed o</w:t>
      </w:r>
      <w:r w:rsidR="00F554E8" w:rsidRPr="008047D6">
        <w:rPr>
          <w:rFonts w:ascii="Arial" w:hAnsi="Arial" w:cs="Arial"/>
          <w:sz w:val="22"/>
          <w:szCs w:val="22"/>
        </w:rPr>
        <w:t xml:space="preserve">n </w:t>
      </w:r>
      <w:r w:rsidRPr="008047D6">
        <w:rPr>
          <w:rFonts w:ascii="Arial" w:hAnsi="Arial" w:cs="Arial"/>
          <w:sz w:val="22"/>
          <w:szCs w:val="22"/>
        </w:rPr>
        <w:t>the development, maintenance</w:t>
      </w:r>
      <w:r w:rsidR="00F554E8" w:rsidRPr="008047D6">
        <w:rPr>
          <w:rFonts w:ascii="Arial" w:hAnsi="Arial" w:cs="Arial"/>
          <w:sz w:val="22"/>
          <w:szCs w:val="22"/>
        </w:rPr>
        <w:t xml:space="preserve"> and </w:t>
      </w:r>
      <w:r w:rsidRPr="008047D6">
        <w:rPr>
          <w:rFonts w:ascii="Arial" w:hAnsi="Arial" w:cs="Arial"/>
          <w:sz w:val="22"/>
          <w:szCs w:val="22"/>
        </w:rPr>
        <w:t xml:space="preserve">protection of the Commission’s resources. </w:t>
      </w:r>
    </w:p>
    <w:p w:rsidR="009E07BA" w:rsidRPr="008047D6" w:rsidRDefault="009E07BA" w:rsidP="009E07BA">
      <w:pPr>
        <w:keepNext/>
        <w:keepLines/>
        <w:tabs>
          <w:tab w:val="left" w:pos="709"/>
        </w:tabs>
        <w:spacing w:before="120" w:after="240"/>
        <w:jc w:val="both"/>
        <w:rPr>
          <w:rFonts w:ascii="Arial" w:hAnsi="Arial" w:cs="Arial"/>
          <w:b/>
          <w:sz w:val="22"/>
          <w:szCs w:val="22"/>
        </w:rPr>
      </w:pPr>
      <w:r w:rsidRPr="008047D6">
        <w:rPr>
          <w:rFonts w:ascii="Arial" w:hAnsi="Arial" w:cs="Arial"/>
          <w:b/>
          <w:sz w:val="22"/>
          <w:szCs w:val="22"/>
        </w:rPr>
        <w:t>Other Business Issues</w:t>
      </w:r>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The Commission is a non-profit statutory authority and as such is not required to make provision for income tax, dividends or returns to the State Government.</w:t>
      </w:r>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The pricing policies of the Commission are primarily determined by external market forces and the ability of users to pay for services</w:t>
      </w:r>
      <w:r w:rsidR="00FF1495" w:rsidRPr="008047D6">
        <w:rPr>
          <w:rFonts w:ascii="Arial" w:hAnsi="Arial" w:cs="Arial"/>
          <w:sz w:val="22"/>
          <w:szCs w:val="22"/>
        </w:rPr>
        <w:t xml:space="preserve"> other than </w:t>
      </w:r>
      <w:r w:rsidR="00D67EE6" w:rsidRPr="008047D6">
        <w:rPr>
          <w:rFonts w:ascii="Arial" w:hAnsi="Arial" w:cs="Arial"/>
          <w:sz w:val="22"/>
          <w:szCs w:val="22"/>
        </w:rPr>
        <w:t>emergency response</w:t>
      </w:r>
      <w:r w:rsidR="00FF1495" w:rsidRPr="008047D6">
        <w:rPr>
          <w:rFonts w:ascii="Arial" w:hAnsi="Arial" w:cs="Arial"/>
          <w:sz w:val="22"/>
          <w:szCs w:val="22"/>
        </w:rPr>
        <w:t>.</w:t>
      </w:r>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The major sources of revenue to the Commission are contributions from landowners</w:t>
      </w:r>
      <w:r w:rsidR="0016279B" w:rsidRPr="008047D6">
        <w:rPr>
          <w:rFonts w:ascii="Arial" w:hAnsi="Arial" w:cs="Arial"/>
          <w:sz w:val="22"/>
          <w:szCs w:val="22"/>
        </w:rPr>
        <w:t xml:space="preserve"> (fire service contribution)</w:t>
      </w:r>
      <w:r w:rsidRPr="008047D6">
        <w:rPr>
          <w:rFonts w:ascii="Arial" w:hAnsi="Arial" w:cs="Arial"/>
          <w:sz w:val="22"/>
          <w:szCs w:val="22"/>
        </w:rPr>
        <w:t>, insurance companies</w:t>
      </w:r>
      <w:r w:rsidR="0016279B" w:rsidRPr="008047D6">
        <w:rPr>
          <w:rFonts w:ascii="Arial" w:hAnsi="Arial" w:cs="Arial"/>
          <w:sz w:val="22"/>
          <w:szCs w:val="22"/>
        </w:rPr>
        <w:t xml:space="preserve"> (insurance fire levy)</w:t>
      </w:r>
      <w:r w:rsidRPr="008047D6">
        <w:rPr>
          <w:rFonts w:ascii="Arial" w:hAnsi="Arial" w:cs="Arial"/>
          <w:sz w:val="22"/>
          <w:szCs w:val="22"/>
        </w:rPr>
        <w:t xml:space="preserve">, motor vehicle owners </w:t>
      </w:r>
      <w:r w:rsidR="0016279B" w:rsidRPr="008047D6">
        <w:rPr>
          <w:rFonts w:ascii="Arial" w:hAnsi="Arial" w:cs="Arial"/>
          <w:sz w:val="22"/>
          <w:szCs w:val="22"/>
        </w:rPr>
        <w:t xml:space="preserve">(motor vehicle fire levy) </w:t>
      </w:r>
      <w:r w:rsidRPr="008047D6">
        <w:rPr>
          <w:rFonts w:ascii="Arial" w:hAnsi="Arial" w:cs="Arial"/>
          <w:sz w:val="22"/>
          <w:szCs w:val="22"/>
        </w:rPr>
        <w:t xml:space="preserve">and the State Government. </w:t>
      </w:r>
      <w:r w:rsidR="0016279B" w:rsidRPr="008047D6">
        <w:rPr>
          <w:rFonts w:ascii="Arial" w:hAnsi="Arial" w:cs="Arial"/>
          <w:sz w:val="22"/>
          <w:szCs w:val="22"/>
        </w:rPr>
        <w:t xml:space="preserve"> </w:t>
      </w:r>
      <w:r w:rsidRPr="008047D6">
        <w:rPr>
          <w:rFonts w:ascii="Arial" w:hAnsi="Arial" w:cs="Arial"/>
          <w:sz w:val="22"/>
          <w:szCs w:val="22"/>
        </w:rPr>
        <w:t xml:space="preserve">In addition the Commission raises revenue through </w:t>
      </w:r>
      <w:r w:rsidR="00D67EE6" w:rsidRPr="008047D6">
        <w:rPr>
          <w:rFonts w:ascii="Arial" w:hAnsi="Arial" w:cs="Arial"/>
          <w:sz w:val="22"/>
          <w:szCs w:val="22"/>
        </w:rPr>
        <w:t xml:space="preserve">the sale and maintenance of fire equipment, the provision of training services to both the public and private sector, </w:t>
      </w:r>
      <w:r w:rsidRPr="008047D6">
        <w:rPr>
          <w:rFonts w:ascii="Arial" w:hAnsi="Arial" w:cs="Arial"/>
          <w:sz w:val="22"/>
          <w:szCs w:val="22"/>
        </w:rPr>
        <w:t xml:space="preserve">alarm monitoring fees, plan approval fees, avoidable false alarm charges </w:t>
      </w:r>
      <w:r w:rsidR="00D67EE6" w:rsidRPr="008047D6">
        <w:rPr>
          <w:rFonts w:ascii="Arial" w:hAnsi="Arial" w:cs="Arial"/>
          <w:sz w:val="22"/>
          <w:szCs w:val="22"/>
        </w:rPr>
        <w:t xml:space="preserve">and </w:t>
      </w:r>
      <w:r w:rsidRPr="008047D6">
        <w:rPr>
          <w:rFonts w:ascii="Arial" w:hAnsi="Arial" w:cs="Arial"/>
          <w:sz w:val="22"/>
          <w:szCs w:val="22"/>
        </w:rPr>
        <w:t xml:space="preserve">fire </w:t>
      </w:r>
      <w:r w:rsidR="0083483B" w:rsidRPr="008047D6">
        <w:rPr>
          <w:rFonts w:ascii="Arial" w:hAnsi="Arial" w:cs="Arial"/>
          <w:sz w:val="22"/>
          <w:szCs w:val="22"/>
        </w:rPr>
        <w:t xml:space="preserve">investigation </w:t>
      </w:r>
      <w:r w:rsidRPr="008047D6">
        <w:rPr>
          <w:rFonts w:ascii="Arial" w:hAnsi="Arial" w:cs="Arial"/>
          <w:sz w:val="22"/>
          <w:szCs w:val="22"/>
        </w:rPr>
        <w:t>reports.</w:t>
      </w:r>
    </w:p>
    <w:p w:rsidR="009E07BA" w:rsidRPr="008047D6" w:rsidRDefault="009E07BA" w:rsidP="00471D55">
      <w:pPr>
        <w:spacing w:after="240"/>
        <w:jc w:val="both"/>
        <w:rPr>
          <w:rFonts w:ascii="Arial" w:hAnsi="Arial" w:cs="Arial"/>
          <w:sz w:val="22"/>
          <w:szCs w:val="22"/>
        </w:rPr>
      </w:pPr>
      <w:r w:rsidRPr="008047D6">
        <w:rPr>
          <w:rFonts w:ascii="Arial" w:hAnsi="Arial" w:cs="Arial"/>
          <w:sz w:val="22"/>
          <w:szCs w:val="22"/>
        </w:rPr>
        <w:t xml:space="preserve">Pensioners and health card holders receive discounts on </w:t>
      </w:r>
      <w:r w:rsidR="0016279B" w:rsidRPr="008047D6">
        <w:rPr>
          <w:rFonts w:ascii="Arial" w:hAnsi="Arial" w:cs="Arial"/>
          <w:sz w:val="22"/>
          <w:szCs w:val="22"/>
        </w:rPr>
        <w:t xml:space="preserve">the fire service contribution </w:t>
      </w:r>
      <w:r w:rsidRPr="008047D6">
        <w:rPr>
          <w:rFonts w:ascii="Arial" w:hAnsi="Arial" w:cs="Arial"/>
          <w:sz w:val="22"/>
          <w:szCs w:val="22"/>
        </w:rPr>
        <w:t xml:space="preserve">and motor vehicle </w:t>
      </w:r>
      <w:r w:rsidR="0016279B" w:rsidRPr="008047D6">
        <w:rPr>
          <w:rFonts w:ascii="Arial" w:hAnsi="Arial" w:cs="Arial"/>
          <w:sz w:val="22"/>
          <w:szCs w:val="22"/>
        </w:rPr>
        <w:t xml:space="preserve">fire </w:t>
      </w:r>
      <w:r w:rsidRPr="008047D6">
        <w:rPr>
          <w:rFonts w:ascii="Arial" w:hAnsi="Arial" w:cs="Arial"/>
          <w:sz w:val="22"/>
          <w:szCs w:val="22"/>
        </w:rPr>
        <w:t>lev</w:t>
      </w:r>
      <w:r w:rsidR="0016279B" w:rsidRPr="008047D6">
        <w:rPr>
          <w:rFonts w:ascii="Arial" w:hAnsi="Arial" w:cs="Arial"/>
          <w:sz w:val="22"/>
          <w:szCs w:val="22"/>
        </w:rPr>
        <w:t>y</w:t>
      </w:r>
      <w:r w:rsidRPr="008047D6">
        <w:rPr>
          <w:rFonts w:ascii="Arial" w:hAnsi="Arial" w:cs="Arial"/>
          <w:sz w:val="22"/>
          <w:szCs w:val="22"/>
        </w:rPr>
        <w:t xml:space="preserve"> from the Commission.</w:t>
      </w:r>
    </w:p>
    <w:p w:rsidR="009E07BA" w:rsidRPr="008047D6" w:rsidRDefault="009E07BA" w:rsidP="009E07BA">
      <w:pPr>
        <w:keepNext/>
        <w:keepLines/>
        <w:tabs>
          <w:tab w:val="left" w:pos="709"/>
        </w:tabs>
        <w:spacing w:after="240"/>
        <w:jc w:val="both"/>
        <w:rPr>
          <w:rFonts w:ascii="Arial" w:hAnsi="Arial" w:cs="Arial"/>
          <w:b/>
          <w:sz w:val="22"/>
          <w:szCs w:val="22"/>
        </w:rPr>
      </w:pPr>
      <w:r w:rsidRPr="008047D6">
        <w:rPr>
          <w:rFonts w:ascii="Arial" w:hAnsi="Arial" w:cs="Arial"/>
          <w:b/>
          <w:sz w:val="22"/>
          <w:szCs w:val="22"/>
        </w:rPr>
        <w:t>Major Goals and Expected Outcomes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53"/>
        <w:gridCol w:w="4927"/>
      </w:tblGrid>
      <w:tr w:rsidR="009E07BA" w:rsidRPr="008047D6">
        <w:tc>
          <w:tcPr>
            <w:tcW w:w="4253" w:type="dxa"/>
          </w:tcPr>
          <w:p w:rsidR="009E07BA" w:rsidRPr="008047D6" w:rsidRDefault="009E07BA" w:rsidP="009E07BA">
            <w:pPr>
              <w:keepNext/>
              <w:keepLines/>
              <w:tabs>
                <w:tab w:val="left" w:pos="176"/>
              </w:tabs>
              <w:spacing w:before="40" w:after="40"/>
              <w:jc w:val="both"/>
              <w:rPr>
                <w:rFonts w:ascii="Arial" w:hAnsi="Arial" w:cs="Arial"/>
                <w:b/>
                <w:sz w:val="22"/>
                <w:szCs w:val="22"/>
              </w:rPr>
            </w:pPr>
            <w:r w:rsidRPr="008047D6">
              <w:rPr>
                <w:rFonts w:ascii="Arial" w:hAnsi="Arial" w:cs="Arial"/>
                <w:b/>
                <w:sz w:val="22"/>
                <w:szCs w:val="22"/>
              </w:rPr>
              <w:tab/>
              <w:t>Major Goals</w:t>
            </w:r>
          </w:p>
        </w:tc>
        <w:tc>
          <w:tcPr>
            <w:tcW w:w="4927" w:type="dxa"/>
          </w:tcPr>
          <w:p w:rsidR="009E07BA" w:rsidRPr="008047D6" w:rsidRDefault="009E07BA" w:rsidP="009E07BA">
            <w:pPr>
              <w:keepNext/>
              <w:keepLines/>
              <w:tabs>
                <w:tab w:val="left" w:pos="175"/>
              </w:tabs>
              <w:spacing w:before="40" w:after="40"/>
              <w:jc w:val="both"/>
              <w:rPr>
                <w:rFonts w:ascii="Arial" w:hAnsi="Arial" w:cs="Arial"/>
                <w:b/>
                <w:sz w:val="22"/>
                <w:szCs w:val="22"/>
              </w:rPr>
            </w:pPr>
            <w:r w:rsidRPr="008047D6">
              <w:rPr>
                <w:rFonts w:ascii="Arial" w:hAnsi="Arial" w:cs="Arial"/>
                <w:b/>
                <w:sz w:val="22"/>
                <w:szCs w:val="22"/>
              </w:rPr>
              <w:tab/>
              <w:t>Expected Outcomes</w:t>
            </w:r>
          </w:p>
        </w:tc>
      </w:tr>
      <w:tr w:rsidR="009E07BA" w:rsidRPr="008047D6">
        <w:tc>
          <w:tcPr>
            <w:tcW w:w="4253" w:type="dxa"/>
          </w:tcPr>
          <w:p w:rsidR="009E07BA" w:rsidRPr="008047D6" w:rsidRDefault="00266D55" w:rsidP="009E07BA">
            <w:pPr>
              <w:keepNext/>
              <w:keepLines/>
              <w:spacing w:before="40" w:after="40"/>
              <w:ind w:left="142" w:hanging="11"/>
              <w:jc w:val="both"/>
              <w:rPr>
                <w:rFonts w:ascii="Arial" w:hAnsi="Arial" w:cs="Arial"/>
                <w:sz w:val="22"/>
                <w:szCs w:val="22"/>
              </w:rPr>
            </w:pPr>
            <w:r w:rsidRPr="008047D6">
              <w:rPr>
                <w:rFonts w:ascii="Arial" w:hAnsi="Arial" w:cs="Arial"/>
                <w:sz w:val="22"/>
                <w:szCs w:val="22"/>
              </w:rPr>
              <w:t xml:space="preserve">To </w:t>
            </w:r>
            <w:r>
              <w:rPr>
                <w:rFonts w:ascii="Arial" w:hAnsi="Arial" w:cs="Arial"/>
                <w:sz w:val="22"/>
                <w:szCs w:val="22"/>
              </w:rPr>
              <w:t xml:space="preserve">assist </w:t>
            </w:r>
            <w:r w:rsidRPr="008047D6">
              <w:rPr>
                <w:rFonts w:ascii="Arial" w:hAnsi="Arial" w:cs="Arial"/>
                <w:sz w:val="22"/>
                <w:szCs w:val="22"/>
              </w:rPr>
              <w:t xml:space="preserve">the Tasmanian community </w:t>
            </w:r>
            <w:r>
              <w:rPr>
                <w:rFonts w:ascii="Arial" w:hAnsi="Arial" w:cs="Arial"/>
                <w:sz w:val="22"/>
                <w:szCs w:val="22"/>
              </w:rPr>
              <w:t xml:space="preserve">to </w:t>
            </w:r>
            <w:r w:rsidRPr="008047D6">
              <w:rPr>
                <w:rFonts w:ascii="Arial" w:hAnsi="Arial" w:cs="Arial"/>
                <w:sz w:val="22"/>
                <w:szCs w:val="22"/>
              </w:rPr>
              <w:t>manage fire risks and respond safely to fire.</w:t>
            </w:r>
          </w:p>
        </w:tc>
        <w:tc>
          <w:tcPr>
            <w:tcW w:w="4927" w:type="dxa"/>
          </w:tcPr>
          <w:p w:rsidR="009E07BA" w:rsidRPr="008047D6" w:rsidRDefault="004F5AE5" w:rsidP="009E07BA">
            <w:pPr>
              <w:keepNext/>
              <w:keepLines/>
              <w:spacing w:before="40" w:after="40"/>
              <w:ind w:left="91"/>
              <w:jc w:val="both"/>
              <w:rPr>
                <w:rFonts w:ascii="Arial" w:hAnsi="Arial" w:cs="Arial"/>
                <w:sz w:val="22"/>
                <w:szCs w:val="22"/>
              </w:rPr>
            </w:pPr>
            <w:r w:rsidRPr="008047D6">
              <w:rPr>
                <w:rFonts w:ascii="Arial" w:hAnsi="Arial" w:cs="Arial"/>
                <w:sz w:val="22"/>
                <w:szCs w:val="22"/>
              </w:rPr>
              <w:t xml:space="preserve">Fewer </w:t>
            </w:r>
            <w:r>
              <w:rPr>
                <w:rFonts w:ascii="Arial" w:hAnsi="Arial" w:cs="Arial"/>
                <w:sz w:val="22"/>
                <w:szCs w:val="22"/>
              </w:rPr>
              <w:t>fire fatalities and injuries and less fire-related damage</w:t>
            </w:r>
            <w:r w:rsidRPr="008047D6">
              <w:rPr>
                <w:rFonts w:ascii="Arial" w:hAnsi="Arial" w:cs="Arial"/>
                <w:sz w:val="22"/>
                <w:szCs w:val="22"/>
              </w:rPr>
              <w:t xml:space="preserve"> in a community that is </w:t>
            </w:r>
            <w:r>
              <w:rPr>
                <w:rFonts w:ascii="Arial" w:hAnsi="Arial" w:cs="Arial"/>
                <w:sz w:val="22"/>
                <w:szCs w:val="22"/>
              </w:rPr>
              <w:t>prepared</w:t>
            </w:r>
            <w:r w:rsidRPr="008047D6">
              <w:rPr>
                <w:rFonts w:ascii="Arial" w:hAnsi="Arial" w:cs="Arial"/>
                <w:sz w:val="22"/>
                <w:szCs w:val="22"/>
              </w:rPr>
              <w:t xml:space="preserve"> to respond appr</w:t>
            </w:r>
            <w:smartTag w:uri="urn:schemas-microsoft-com:office:smarttags" w:element="PersonName">
              <w:r w:rsidRPr="008047D6">
                <w:rPr>
                  <w:rFonts w:ascii="Arial" w:hAnsi="Arial" w:cs="Arial"/>
                  <w:sz w:val="22"/>
                  <w:szCs w:val="22"/>
                </w:rPr>
                <w:t>opr</w:t>
              </w:r>
            </w:smartTag>
            <w:r w:rsidRPr="008047D6">
              <w:rPr>
                <w:rFonts w:ascii="Arial" w:hAnsi="Arial" w:cs="Arial"/>
                <w:sz w:val="22"/>
                <w:szCs w:val="22"/>
              </w:rPr>
              <w:t>iately when threatened by fire.</w:t>
            </w:r>
          </w:p>
        </w:tc>
      </w:tr>
      <w:tr w:rsidR="00266D55" w:rsidRPr="008047D6">
        <w:tc>
          <w:tcPr>
            <w:tcW w:w="4253" w:type="dxa"/>
          </w:tcPr>
          <w:p w:rsidR="00266D55" w:rsidRPr="008047D6" w:rsidRDefault="00266D55" w:rsidP="009E07BA">
            <w:pPr>
              <w:keepNext/>
              <w:keepLines/>
              <w:spacing w:before="40" w:after="40"/>
              <w:ind w:left="142" w:hanging="11"/>
              <w:jc w:val="both"/>
              <w:rPr>
                <w:rFonts w:ascii="Arial" w:hAnsi="Arial" w:cs="Arial"/>
                <w:sz w:val="22"/>
                <w:szCs w:val="22"/>
              </w:rPr>
            </w:pPr>
            <w:r w:rsidRPr="008047D6">
              <w:rPr>
                <w:rFonts w:ascii="Arial" w:hAnsi="Arial" w:cs="Arial"/>
                <w:sz w:val="22"/>
                <w:szCs w:val="22"/>
              </w:rPr>
              <w:t>To respond to and manage fire and other emergencies efficiently and effectively.</w:t>
            </w:r>
          </w:p>
        </w:tc>
        <w:tc>
          <w:tcPr>
            <w:tcW w:w="4927" w:type="dxa"/>
          </w:tcPr>
          <w:p w:rsidR="00266D55" w:rsidRPr="008047D6" w:rsidRDefault="00266D55" w:rsidP="009E07BA">
            <w:pPr>
              <w:keepNext/>
              <w:keepLines/>
              <w:spacing w:before="40" w:after="40"/>
              <w:ind w:left="91"/>
              <w:jc w:val="both"/>
              <w:rPr>
                <w:rFonts w:ascii="Arial" w:hAnsi="Arial" w:cs="Arial"/>
                <w:sz w:val="22"/>
                <w:szCs w:val="22"/>
              </w:rPr>
            </w:pPr>
            <w:r>
              <w:rPr>
                <w:rFonts w:ascii="Arial" w:hAnsi="Arial" w:cs="Arial"/>
                <w:sz w:val="22"/>
                <w:szCs w:val="22"/>
              </w:rPr>
              <w:t>M</w:t>
            </w:r>
            <w:r w:rsidRPr="008047D6">
              <w:rPr>
                <w:rFonts w:ascii="Arial" w:hAnsi="Arial" w:cs="Arial"/>
                <w:sz w:val="22"/>
                <w:szCs w:val="22"/>
              </w:rPr>
              <w:t>inim</w:t>
            </w:r>
            <w:r>
              <w:rPr>
                <w:rFonts w:ascii="Arial" w:hAnsi="Arial" w:cs="Arial"/>
                <w:sz w:val="22"/>
                <w:szCs w:val="22"/>
              </w:rPr>
              <w:t>al</w:t>
            </w:r>
            <w:r w:rsidRPr="008047D6">
              <w:rPr>
                <w:rFonts w:ascii="Arial" w:hAnsi="Arial" w:cs="Arial"/>
                <w:sz w:val="22"/>
                <w:szCs w:val="22"/>
              </w:rPr>
              <w:t xml:space="preserve"> social, economic and environmental cost to the community</w:t>
            </w:r>
            <w:r>
              <w:rPr>
                <w:rFonts w:ascii="Arial" w:hAnsi="Arial" w:cs="Arial"/>
                <w:sz w:val="22"/>
                <w:szCs w:val="22"/>
              </w:rPr>
              <w:t xml:space="preserve"> arising from fire and other emergencies</w:t>
            </w:r>
            <w:r w:rsidR="00336D6E">
              <w:rPr>
                <w:rFonts w:ascii="Arial" w:hAnsi="Arial" w:cs="Arial"/>
                <w:sz w:val="22"/>
                <w:szCs w:val="22"/>
              </w:rPr>
              <w:t>.</w:t>
            </w:r>
          </w:p>
        </w:tc>
      </w:tr>
      <w:tr w:rsidR="009E07BA" w:rsidRPr="008047D6">
        <w:tc>
          <w:tcPr>
            <w:tcW w:w="4253" w:type="dxa"/>
          </w:tcPr>
          <w:p w:rsidR="009E07BA" w:rsidRPr="008047D6" w:rsidRDefault="00266D55" w:rsidP="009E07BA">
            <w:pPr>
              <w:keepNext/>
              <w:keepLines/>
              <w:spacing w:before="40" w:after="40"/>
              <w:ind w:left="142" w:hanging="11"/>
              <w:jc w:val="both"/>
              <w:rPr>
                <w:rFonts w:ascii="Arial" w:hAnsi="Arial" w:cs="Arial"/>
                <w:sz w:val="22"/>
                <w:szCs w:val="22"/>
              </w:rPr>
            </w:pPr>
            <w:r>
              <w:rPr>
                <w:rFonts w:ascii="Arial" w:hAnsi="Arial" w:cs="Arial"/>
                <w:sz w:val="22"/>
                <w:szCs w:val="22"/>
              </w:rPr>
              <w:t>To ensure the organisation operates responsibly with regard to the community, our people and the environment</w:t>
            </w:r>
            <w:r w:rsidRPr="008047D6">
              <w:rPr>
                <w:rFonts w:ascii="Arial" w:hAnsi="Arial" w:cs="Arial"/>
                <w:sz w:val="22"/>
                <w:szCs w:val="22"/>
              </w:rPr>
              <w:t>.</w:t>
            </w:r>
          </w:p>
        </w:tc>
        <w:tc>
          <w:tcPr>
            <w:tcW w:w="4927" w:type="dxa"/>
          </w:tcPr>
          <w:p w:rsidR="009E07BA" w:rsidRPr="008047D6" w:rsidRDefault="00266D55" w:rsidP="009E07BA">
            <w:pPr>
              <w:keepNext/>
              <w:keepLines/>
              <w:spacing w:before="40" w:after="40"/>
              <w:ind w:left="91"/>
              <w:jc w:val="both"/>
              <w:rPr>
                <w:rFonts w:ascii="Arial" w:hAnsi="Arial" w:cs="Arial"/>
                <w:sz w:val="22"/>
                <w:szCs w:val="22"/>
              </w:rPr>
            </w:pPr>
            <w:r>
              <w:rPr>
                <w:rFonts w:ascii="Arial" w:hAnsi="Arial" w:cs="Arial"/>
                <w:sz w:val="22"/>
                <w:szCs w:val="22"/>
              </w:rPr>
              <w:t>A capable, resilient</w:t>
            </w:r>
            <w:r w:rsidR="00BC47D1">
              <w:rPr>
                <w:rFonts w:ascii="Arial" w:hAnsi="Arial" w:cs="Arial"/>
                <w:sz w:val="22"/>
                <w:szCs w:val="22"/>
              </w:rPr>
              <w:t>, responsible</w:t>
            </w:r>
            <w:r>
              <w:rPr>
                <w:rFonts w:ascii="Arial" w:hAnsi="Arial" w:cs="Arial"/>
                <w:sz w:val="22"/>
                <w:szCs w:val="22"/>
              </w:rPr>
              <w:t xml:space="preserve"> and legally compliant organisation.</w:t>
            </w:r>
          </w:p>
        </w:tc>
      </w:tr>
      <w:tr w:rsidR="00EE640D" w:rsidRPr="008047D6">
        <w:tc>
          <w:tcPr>
            <w:tcW w:w="4253" w:type="dxa"/>
          </w:tcPr>
          <w:p w:rsidR="00EE640D" w:rsidRPr="008047D6" w:rsidRDefault="00681B62" w:rsidP="00FD4AA8">
            <w:pPr>
              <w:keepNext/>
              <w:keepLines/>
              <w:spacing w:before="40" w:after="40"/>
              <w:ind w:left="142" w:hanging="11"/>
              <w:jc w:val="both"/>
              <w:rPr>
                <w:rFonts w:ascii="Arial" w:hAnsi="Arial" w:cs="Arial"/>
                <w:sz w:val="22"/>
                <w:szCs w:val="22"/>
              </w:rPr>
            </w:pPr>
            <w:r w:rsidRPr="008047D6">
              <w:rPr>
                <w:rFonts w:ascii="Arial" w:hAnsi="Arial" w:cs="Arial"/>
                <w:sz w:val="22"/>
                <w:szCs w:val="22"/>
              </w:rPr>
              <w:t xml:space="preserve">To support our people in a </w:t>
            </w:r>
            <w:r>
              <w:rPr>
                <w:rFonts w:ascii="Arial" w:hAnsi="Arial" w:cs="Arial"/>
                <w:sz w:val="22"/>
                <w:szCs w:val="22"/>
              </w:rPr>
              <w:t xml:space="preserve">safe, </w:t>
            </w:r>
            <w:r w:rsidRPr="008047D6">
              <w:rPr>
                <w:rFonts w:ascii="Arial" w:hAnsi="Arial" w:cs="Arial"/>
                <w:sz w:val="22"/>
                <w:szCs w:val="22"/>
              </w:rPr>
              <w:t>fair</w:t>
            </w:r>
            <w:r>
              <w:rPr>
                <w:rFonts w:ascii="Arial" w:hAnsi="Arial" w:cs="Arial"/>
                <w:sz w:val="22"/>
                <w:szCs w:val="22"/>
              </w:rPr>
              <w:t xml:space="preserve"> and </w:t>
            </w:r>
            <w:r w:rsidRPr="008047D6">
              <w:rPr>
                <w:rFonts w:ascii="Arial" w:hAnsi="Arial" w:cs="Arial"/>
                <w:sz w:val="22"/>
                <w:szCs w:val="22"/>
              </w:rPr>
              <w:t>productive work environment</w:t>
            </w:r>
            <w:r w:rsidR="0016279B" w:rsidRPr="008047D6">
              <w:rPr>
                <w:rFonts w:ascii="Arial" w:hAnsi="Arial" w:cs="Arial"/>
                <w:sz w:val="22"/>
                <w:szCs w:val="22"/>
              </w:rPr>
              <w:t>.</w:t>
            </w:r>
          </w:p>
        </w:tc>
        <w:tc>
          <w:tcPr>
            <w:tcW w:w="4927" w:type="dxa"/>
          </w:tcPr>
          <w:p w:rsidR="00EE640D" w:rsidRPr="008047D6" w:rsidRDefault="00EE640D" w:rsidP="00FD4AA8">
            <w:pPr>
              <w:keepNext/>
              <w:keepLines/>
              <w:spacing w:before="40" w:after="40"/>
              <w:ind w:left="91"/>
              <w:jc w:val="both"/>
              <w:rPr>
                <w:rFonts w:ascii="Arial" w:hAnsi="Arial" w:cs="Arial"/>
                <w:sz w:val="22"/>
                <w:szCs w:val="22"/>
              </w:rPr>
            </w:pPr>
            <w:r w:rsidRPr="008047D6">
              <w:rPr>
                <w:rFonts w:ascii="Arial" w:hAnsi="Arial" w:cs="Arial"/>
                <w:sz w:val="22"/>
                <w:szCs w:val="22"/>
              </w:rPr>
              <w:t>A</w:t>
            </w:r>
            <w:r w:rsidR="00681B62">
              <w:rPr>
                <w:rFonts w:ascii="Arial" w:hAnsi="Arial" w:cs="Arial"/>
                <w:sz w:val="22"/>
                <w:szCs w:val="22"/>
              </w:rPr>
              <w:t xml:space="preserve"> safe, fair and productive work environment</w:t>
            </w:r>
            <w:r w:rsidRPr="008047D6">
              <w:rPr>
                <w:rFonts w:ascii="Arial" w:hAnsi="Arial" w:cs="Arial"/>
                <w:sz w:val="22"/>
                <w:szCs w:val="22"/>
              </w:rPr>
              <w:t xml:space="preserve">. </w:t>
            </w:r>
          </w:p>
        </w:tc>
      </w:tr>
      <w:tr w:rsidR="00D40EA8" w:rsidRPr="008047D6">
        <w:trPr>
          <w:trHeight w:val="1241"/>
        </w:trPr>
        <w:tc>
          <w:tcPr>
            <w:tcW w:w="4253" w:type="dxa"/>
          </w:tcPr>
          <w:p w:rsidR="00D40EA8" w:rsidRPr="008047D6" w:rsidRDefault="00681B62" w:rsidP="00FE1C43">
            <w:pPr>
              <w:keepNext/>
              <w:keepLines/>
              <w:spacing w:before="40" w:after="40"/>
              <w:ind w:left="142" w:hanging="11"/>
              <w:jc w:val="both"/>
              <w:rPr>
                <w:rFonts w:ascii="Arial" w:hAnsi="Arial" w:cs="Arial"/>
                <w:sz w:val="22"/>
                <w:szCs w:val="22"/>
              </w:rPr>
            </w:pPr>
            <w:r w:rsidRPr="008047D6">
              <w:rPr>
                <w:rFonts w:ascii="Arial" w:hAnsi="Arial" w:cs="Arial"/>
                <w:sz w:val="22"/>
                <w:szCs w:val="22"/>
              </w:rPr>
              <w:t>To manage our financial, information and physical resources efficiently and effectively</w:t>
            </w:r>
            <w:r w:rsidR="00D40EA8" w:rsidRPr="008047D6">
              <w:rPr>
                <w:rFonts w:ascii="Arial" w:hAnsi="Arial" w:cs="Arial"/>
                <w:sz w:val="22"/>
                <w:szCs w:val="22"/>
              </w:rPr>
              <w:t>.</w:t>
            </w:r>
          </w:p>
        </w:tc>
        <w:tc>
          <w:tcPr>
            <w:tcW w:w="4927" w:type="dxa"/>
          </w:tcPr>
          <w:p w:rsidR="00D40EA8" w:rsidRPr="008047D6" w:rsidRDefault="00D40EA8" w:rsidP="00FE1C43">
            <w:pPr>
              <w:keepNext/>
              <w:keepLines/>
              <w:spacing w:before="40" w:after="40"/>
              <w:ind w:left="91"/>
              <w:jc w:val="both"/>
              <w:rPr>
                <w:rFonts w:ascii="Arial" w:hAnsi="Arial" w:cs="Arial"/>
                <w:sz w:val="22"/>
                <w:szCs w:val="22"/>
              </w:rPr>
            </w:pPr>
            <w:r w:rsidRPr="008047D6">
              <w:rPr>
                <w:rFonts w:ascii="Arial" w:hAnsi="Arial" w:cs="Arial"/>
                <w:sz w:val="22"/>
                <w:szCs w:val="22"/>
              </w:rPr>
              <w:t xml:space="preserve">The provision of adequate and sustainable resources to enable the Commission to discharge its </w:t>
            </w:r>
            <w:r w:rsidR="00681B62">
              <w:rPr>
                <w:rFonts w:ascii="Arial" w:hAnsi="Arial" w:cs="Arial"/>
                <w:sz w:val="22"/>
                <w:szCs w:val="22"/>
              </w:rPr>
              <w:t xml:space="preserve">statutory </w:t>
            </w:r>
            <w:r w:rsidRPr="008047D6">
              <w:rPr>
                <w:rFonts w:ascii="Arial" w:hAnsi="Arial" w:cs="Arial"/>
                <w:sz w:val="22"/>
                <w:szCs w:val="22"/>
              </w:rPr>
              <w:t>duties</w:t>
            </w:r>
            <w:r w:rsidRPr="008047D6">
              <w:rPr>
                <w:rFonts w:ascii="Arial" w:hAnsi="Arial" w:cs="Arial"/>
                <w:i/>
                <w:sz w:val="22"/>
                <w:szCs w:val="22"/>
              </w:rPr>
              <w:t>.</w:t>
            </w:r>
          </w:p>
        </w:tc>
      </w:tr>
    </w:tbl>
    <w:p w:rsidR="009F76FE" w:rsidRPr="008047D6" w:rsidRDefault="009F76FE" w:rsidP="009F76FE">
      <w:pPr>
        <w:rPr>
          <w:rFonts w:ascii="Arial" w:hAnsi="Arial" w:cs="Arial"/>
          <w:sz w:val="22"/>
          <w:szCs w:val="22"/>
        </w:rPr>
      </w:pPr>
      <w:bookmarkStart w:id="3" w:name="_Toc130979717"/>
      <w:bookmarkStart w:id="4" w:name="_Toc477750213"/>
      <w:bookmarkStart w:id="5" w:name="_Toc509828787"/>
    </w:p>
    <w:p w:rsidR="00190833" w:rsidRDefault="00190833" w:rsidP="00190833">
      <w:pPr>
        <w:keepNext/>
        <w:keepLines/>
        <w:tabs>
          <w:tab w:val="left" w:pos="709"/>
        </w:tabs>
        <w:spacing w:after="240"/>
        <w:jc w:val="both"/>
        <w:rPr>
          <w:rFonts w:ascii="Arial" w:hAnsi="Arial" w:cs="Arial"/>
          <w:b/>
          <w:sz w:val="22"/>
          <w:szCs w:val="22"/>
        </w:rPr>
      </w:pPr>
      <w:r>
        <w:rPr>
          <w:rFonts w:ascii="Arial" w:hAnsi="Arial" w:cs="Arial"/>
          <w:b/>
          <w:sz w:val="22"/>
          <w:szCs w:val="22"/>
        </w:rPr>
        <w:t>Key Performance Indicators</w:t>
      </w:r>
    </w:p>
    <w:p w:rsidR="00190833" w:rsidRDefault="00190833" w:rsidP="00190833">
      <w:pPr>
        <w:keepNext/>
        <w:keepLines/>
        <w:tabs>
          <w:tab w:val="left" w:pos="709"/>
        </w:tabs>
        <w:spacing w:after="240"/>
        <w:jc w:val="both"/>
        <w:rPr>
          <w:rFonts w:ascii="Arial" w:hAnsi="Arial" w:cs="Arial"/>
          <w:sz w:val="22"/>
          <w:szCs w:val="22"/>
        </w:rPr>
      </w:pPr>
      <w:r w:rsidRPr="00190833">
        <w:rPr>
          <w:rFonts w:ascii="Arial" w:hAnsi="Arial" w:cs="Arial"/>
          <w:sz w:val="22"/>
          <w:szCs w:val="22"/>
        </w:rPr>
        <w:t xml:space="preserve">In accordance with our vision and role, </w:t>
      </w:r>
      <w:r>
        <w:rPr>
          <w:rFonts w:ascii="Arial" w:hAnsi="Arial" w:cs="Arial"/>
          <w:sz w:val="22"/>
          <w:szCs w:val="22"/>
        </w:rPr>
        <w:t>our</w:t>
      </w:r>
      <w:r w:rsidRPr="00190833">
        <w:rPr>
          <w:rFonts w:ascii="Arial" w:hAnsi="Arial" w:cs="Arial"/>
          <w:sz w:val="22"/>
          <w:szCs w:val="22"/>
        </w:rPr>
        <w:t xml:space="preserve"> key performance indicators are:</w:t>
      </w:r>
    </w:p>
    <w:p w:rsidR="00190833" w:rsidRPr="008047D6" w:rsidRDefault="00190833" w:rsidP="0083415A">
      <w:pPr>
        <w:pStyle w:val="BodyText2"/>
        <w:keepNext w:val="0"/>
        <w:keepLines w:val="0"/>
        <w:numPr>
          <w:ilvl w:val="0"/>
          <w:numId w:val="16"/>
        </w:numPr>
        <w:tabs>
          <w:tab w:val="clear" w:pos="266"/>
          <w:tab w:val="num" w:pos="540"/>
        </w:tabs>
        <w:spacing w:after="120"/>
        <w:ind w:left="539" w:hanging="539"/>
        <w:rPr>
          <w:rFonts w:ascii="Arial" w:hAnsi="Arial" w:cs="Arial"/>
          <w:sz w:val="22"/>
          <w:szCs w:val="22"/>
        </w:rPr>
      </w:pPr>
      <w:r w:rsidRPr="008047D6">
        <w:rPr>
          <w:rFonts w:ascii="Arial" w:hAnsi="Arial" w:cs="Arial"/>
          <w:sz w:val="22"/>
          <w:szCs w:val="22"/>
        </w:rPr>
        <w:t xml:space="preserve">The rate of fire fatalities </w:t>
      </w:r>
      <w:r>
        <w:rPr>
          <w:rFonts w:ascii="Arial" w:hAnsi="Arial" w:cs="Arial"/>
          <w:sz w:val="22"/>
          <w:szCs w:val="22"/>
        </w:rPr>
        <w:t>and</w:t>
      </w:r>
      <w:r w:rsidRPr="008047D6">
        <w:rPr>
          <w:rFonts w:ascii="Arial" w:hAnsi="Arial" w:cs="Arial"/>
          <w:sz w:val="22"/>
          <w:szCs w:val="22"/>
        </w:rPr>
        <w:t xml:space="preserve"> injuries (number of fatalities </w:t>
      </w:r>
      <w:r>
        <w:rPr>
          <w:rFonts w:ascii="Arial" w:hAnsi="Arial" w:cs="Arial"/>
          <w:sz w:val="22"/>
          <w:szCs w:val="22"/>
        </w:rPr>
        <w:t>and</w:t>
      </w:r>
      <w:r w:rsidRPr="008047D6">
        <w:rPr>
          <w:rFonts w:ascii="Arial" w:hAnsi="Arial" w:cs="Arial"/>
          <w:sz w:val="22"/>
          <w:szCs w:val="22"/>
        </w:rPr>
        <w:t xml:space="preserve"> injuries/100,000 residents).</w:t>
      </w:r>
    </w:p>
    <w:p w:rsidR="00190833" w:rsidRPr="008047D6" w:rsidRDefault="00190833" w:rsidP="0083415A">
      <w:pPr>
        <w:pStyle w:val="BodyText2"/>
        <w:keepNext w:val="0"/>
        <w:keepLines w:val="0"/>
        <w:numPr>
          <w:ilvl w:val="0"/>
          <w:numId w:val="16"/>
        </w:numPr>
        <w:tabs>
          <w:tab w:val="clear" w:pos="266"/>
          <w:tab w:val="num" w:pos="540"/>
        </w:tabs>
        <w:spacing w:after="120"/>
        <w:ind w:left="540" w:hanging="540"/>
        <w:rPr>
          <w:rFonts w:ascii="Arial" w:hAnsi="Arial" w:cs="Arial"/>
          <w:sz w:val="22"/>
          <w:szCs w:val="22"/>
        </w:rPr>
      </w:pPr>
      <w:r w:rsidRPr="008047D6">
        <w:rPr>
          <w:rFonts w:ascii="Arial" w:hAnsi="Arial" w:cs="Arial"/>
          <w:sz w:val="22"/>
          <w:szCs w:val="22"/>
        </w:rPr>
        <w:t xml:space="preserve">The rate of </w:t>
      </w:r>
      <w:r w:rsidR="00C02A8A">
        <w:rPr>
          <w:rFonts w:ascii="Arial" w:hAnsi="Arial" w:cs="Arial"/>
          <w:sz w:val="22"/>
          <w:szCs w:val="22"/>
        </w:rPr>
        <w:t>structural</w:t>
      </w:r>
      <w:r w:rsidRPr="008047D6">
        <w:rPr>
          <w:rFonts w:ascii="Arial" w:hAnsi="Arial" w:cs="Arial"/>
          <w:sz w:val="22"/>
          <w:szCs w:val="22"/>
        </w:rPr>
        <w:t xml:space="preserve"> fires (number of </w:t>
      </w:r>
      <w:r w:rsidR="00C02A8A">
        <w:rPr>
          <w:rFonts w:ascii="Arial" w:hAnsi="Arial" w:cs="Arial"/>
          <w:sz w:val="22"/>
          <w:szCs w:val="22"/>
        </w:rPr>
        <w:t xml:space="preserve">structural </w:t>
      </w:r>
      <w:r w:rsidRPr="008047D6">
        <w:rPr>
          <w:rFonts w:ascii="Arial" w:hAnsi="Arial" w:cs="Arial"/>
          <w:sz w:val="22"/>
          <w:szCs w:val="22"/>
        </w:rPr>
        <w:t xml:space="preserve">fires reported to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 xml:space="preserve">/100,000 </w:t>
      </w:r>
      <w:r w:rsidR="00C02A8A">
        <w:rPr>
          <w:rFonts w:ascii="Arial" w:hAnsi="Arial" w:cs="Arial"/>
          <w:sz w:val="22"/>
          <w:szCs w:val="22"/>
        </w:rPr>
        <w:t>structures</w:t>
      </w:r>
      <w:r w:rsidRPr="008047D6">
        <w:rPr>
          <w:rFonts w:ascii="Arial" w:hAnsi="Arial" w:cs="Arial"/>
          <w:sz w:val="22"/>
          <w:szCs w:val="22"/>
        </w:rPr>
        <w:t>).</w:t>
      </w:r>
    </w:p>
    <w:p w:rsidR="00C02A8A" w:rsidRDefault="00C02A8A" w:rsidP="0083415A">
      <w:pPr>
        <w:pStyle w:val="BodyText2"/>
        <w:keepNext w:val="0"/>
        <w:keepLines w:val="0"/>
        <w:numPr>
          <w:ilvl w:val="0"/>
          <w:numId w:val="16"/>
        </w:numPr>
        <w:tabs>
          <w:tab w:val="clear" w:pos="266"/>
          <w:tab w:val="num" w:pos="540"/>
        </w:tabs>
        <w:spacing w:after="120"/>
        <w:ind w:left="539" w:hanging="539"/>
        <w:rPr>
          <w:rFonts w:ascii="Arial" w:hAnsi="Arial" w:cs="Arial"/>
          <w:sz w:val="22"/>
          <w:szCs w:val="22"/>
        </w:rPr>
      </w:pPr>
      <w:r>
        <w:rPr>
          <w:rFonts w:ascii="Arial" w:hAnsi="Arial" w:cs="Arial"/>
          <w:sz w:val="22"/>
          <w:szCs w:val="22"/>
        </w:rPr>
        <w:t xml:space="preserve">The </w:t>
      </w:r>
      <w:r w:rsidR="00815A53">
        <w:rPr>
          <w:rFonts w:ascii="Arial" w:hAnsi="Arial" w:cs="Arial"/>
          <w:sz w:val="22"/>
          <w:szCs w:val="22"/>
        </w:rPr>
        <w:t>value of building stock lost in fires as a proportion of the total building stock.</w:t>
      </w:r>
    </w:p>
    <w:p w:rsidR="00BD3D25" w:rsidRPr="008047D6" w:rsidRDefault="00BD3D25" w:rsidP="009F76FE">
      <w:pPr>
        <w:rPr>
          <w:rFonts w:ascii="Arial" w:hAnsi="Arial" w:cs="Arial"/>
          <w:sz w:val="22"/>
          <w:szCs w:val="22"/>
        </w:rPr>
      </w:pPr>
    </w:p>
    <w:p w:rsidR="009E07BA" w:rsidRPr="007A19EF" w:rsidRDefault="009E07BA" w:rsidP="00DC0A0A">
      <w:pPr>
        <w:spacing w:after="120"/>
        <w:jc w:val="both"/>
        <w:rPr>
          <w:rFonts w:ascii="Arial" w:hAnsi="Arial" w:cs="Arial"/>
          <w:sz w:val="22"/>
          <w:szCs w:val="22"/>
        </w:rPr>
      </w:pPr>
      <w:r w:rsidRPr="007A19EF">
        <w:rPr>
          <w:rFonts w:ascii="Arial" w:hAnsi="Arial" w:cs="Arial"/>
          <w:sz w:val="22"/>
          <w:szCs w:val="22"/>
        </w:rPr>
        <w:t xml:space="preserve">The </w:t>
      </w:r>
      <w:r w:rsidR="00FF1495" w:rsidRPr="007A19EF">
        <w:rPr>
          <w:rFonts w:ascii="Arial" w:hAnsi="Arial" w:cs="Arial"/>
          <w:sz w:val="22"/>
          <w:szCs w:val="22"/>
        </w:rPr>
        <w:t xml:space="preserve">Commission’s </w:t>
      </w:r>
      <w:r w:rsidRPr="007A19EF">
        <w:rPr>
          <w:rFonts w:ascii="Arial" w:hAnsi="Arial" w:cs="Arial"/>
          <w:sz w:val="22"/>
          <w:szCs w:val="22"/>
        </w:rPr>
        <w:t xml:space="preserve">strategic direction aligns with the achievement of the following </w:t>
      </w:r>
      <w:r w:rsidRPr="007A19EF">
        <w:rPr>
          <w:rFonts w:ascii="Arial" w:hAnsi="Arial" w:cs="Arial"/>
          <w:i/>
          <w:sz w:val="22"/>
          <w:szCs w:val="22"/>
        </w:rPr>
        <w:t>Tasmania</w:t>
      </w:r>
      <w:r w:rsidRPr="007A19EF">
        <w:rPr>
          <w:rFonts w:ascii="Arial" w:hAnsi="Arial" w:cs="Arial"/>
          <w:sz w:val="22"/>
          <w:szCs w:val="22"/>
        </w:rPr>
        <w:t xml:space="preserve"> </w:t>
      </w:r>
      <w:r w:rsidRPr="007A19EF">
        <w:rPr>
          <w:rFonts w:ascii="Arial" w:hAnsi="Arial" w:cs="Arial"/>
          <w:i/>
          <w:sz w:val="22"/>
          <w:szCs w:val="22"/>
        </w:rPr>
        <w:t>Together</w:t>
      </w:r>
      <w:r w:rsidRPr="007A19EF">
        <w:rPr>
          <w:rFonts w:ascii="Arial" w:hAnsi="Arial" w:cs="Arial"/>
          <w:sz w:val="22"/>
          <w:szCs w:val="22"/>
        </w:rPr>
        <w:t xml:space="preserve"> goals;</w:t>
      </w:r>
      <w:bookmarkEnd w:id="3"/>
    </w:p>
    <w:p w:rsidR="009E07BA" w:rsidRPr="007A19EF" w:rsidRDefault="00E83ECA" w:rsidP="0083415A">
      <w:pPr>
        <w:numPr>
          <w:ilvl w:val="0"/>
          <w:numId w:val="7"/>
        </w:numPr>
        <w:tabs>
          <w:tab w:val="clear" w:pos="720"/>
          <w:tab w:val="num" w:pos="540"/>
        </w:tabs>
        <w:spacing w:after="120"/>
        <w:ind w:left="539" w:hanging="539"/>
        <w:jc w:val="both"/>
        <w:rPr>
          <w:rFonts w:ascii="Arial" w:hAnsi="Arial" w:cs="Arial"/>
          <w:i/>
          <w:sz w:val="22"/>
          <w:szCs w:val="22"/>
          <w:lang w:val="en-US"/>
        </w:rPr>
      </w:pPr>
      <w:r w:rsidRPr="007A19EF">
        <w:rPr>
          <w:rFonts w:ascii="Arial" w:hAnsi="Arial" w:cs="Arial"/>
          <w:i/>
          <w:sz w:val="22"/>
          <w:szCs w:val="22"/>
          <w:lang w:val="en-US"/>
        </w:rPr>
        <w:t>Confident, friendly and safe communities</w:t>
      </w:r>
      <w:r w:rsidR="009E07BA" w:rsidRPr="007A19EF">
        <w:rPr>
          <w:rFonts w:ascii="Arial" w:hAnsi="Arial" w:cs="Arial"/>
          <w:i/>
          <w:sz w:val="22"/>
          <w:szCs w:val="22"/>
          <w:lang w:val="en-US"/>
        </w:rPr>
        <w:t>.</w:t>
      </w:r>
    </w:p>
    <w:p w:rsidR="009E07BA" w:rsidRPr="007A19EF" w:rsidRDefault="00E83ECA" w:rsidP="0083415A">
      <w:pPr>
        <w:numPr>
          <w:ilvl w:val="0"/>
          <w:numId w:val="7"/>
        </w:numPr>
        <w:tabs>
          <w:tab w:val="clear" w:pos="720"/>
          <w:tab w:val="num" w:pos="540"/>
        </w:tabs>
        <w:spacing w:after="120"/>
        <w:ind w:left="539" w:hanging="539"/>
        <w:jc w:val="both"/>
        <w:rPr>
          <w:rFonts w:ascii="Arial" w:hAnsi="Arial" w:cs="Arial"/>
          <w:i/>
          <w:sz w:val="22"/>
          <w:szCs w:val="22"/>
          <w:lang w:val="en-US"/>
        </w:rPr>
      </w:pPr>
      <w:r w:rsidRPr="007A19EF">
        <w:rPr>
          <w:rFonts w:ascii="Arial" w:hAnsi="Arial" w:cs="Arial"/>
          <w:i/>
          <w:sz w:val="22"/>
          <w:szCs w:val="22"/>
          <w:lang w:val="en-US"/>
        </w:rPr>
        <w:t>High quality education and training for lifelong learning and a skilled workforce</w:t>
      </w:r>
      <w:r w:rsidR="009E07BA" w:rsidRPr="007A19EF">
        <w:rPr>
          <w:rFonts w:ascii="Arial" w:hAnsi="Arial" w:cs="Arial"/>
          <w:i/>
          <w:sz w:val="22"/>
          <w:szCs w:val="22"/>
          <w:lang w:val="en-US"/>
        </w:rPr>
        <w:t>.</w:t>
      </w:r>
    </w:p>
    <w:p w:rsidR="009C2F05" w:rsidRDefault="00E83ECA" w:rsidP="0083415A">
      <w:pPr>
        <w:numPr>
          <w:ilvl w:val="0"/>
          <w:numId w:val="7"/>
        </w:numPr>
        <w:tabs>
          <w:tab w:val="clear" w:pos="720"/>
          <w:tab w:val="num" w:pos="540"/>
        </w:tabs>
        <w:spacing w:after="120"/>
        <w:ind w:left="539" w:hanging="539"/>
        <w:jc w:val="both"/>
        <w:rPr>
          <w:rFonts w:ascii="Arial" w:hAnsi="Arial" w:cs="Arial"/>
          <w:i/>
          <w:sz w:val="22"/>
          <w:szCs w:val="22"/>
          <w:lang w:val="en-US"/>
        </w:rPr>
      </w:pPr>
      <w:r w:rsidRPr="007A19EF">
        <w:rPr>
          <w:rFonts w:ascii="Arial" w:hAnsi="Arial" w:cs="Arial"/>
          <w:i/>
          <w:sz w:val="22"/>
          <w:szCs w:val="22"/>
          <w:lang w:val="en-US"/>
        </w:rPr>
        <w:t>Vibrant, inclusive and growing communities where people feel valued and connected</w:t>
      </w:r>
      <w:r w:rsidR="009E07BA" w:rsidRPr="007A19EF">
        <w:rPr>
          <w:rFonts w:ascii="Arial" w:hAnsi="Arial" w:cs="Arial"/>
          <w:i/>
          <w:sz w:val="22"/>
          <w:szCs w:val="22"/>
          <w:lang w:val="en-US"/>
        </w:rPr>
        <w:t>.</w:t>
      </w:r>
    </w:p>
    <w:p w:rsidR="009E07BA" w:rsidRPr="008047D6" w:rsidRDefault="009E07BA" w:rsidP="00D40EA8">
      <w:pPr>
        <w:pStyle w:val="Heading1"/>
        <w:keepLines/>
        <w:widowControl w:val="0"/>
        <w:tabs>
          <w:tab w:val="left" w:pos="567"/>
        </w:tabs>
        <w:spacing w:before="360" w:after="240"/>
        <w:rPr>
          <w:rFonts w:ascii="Arial" w:hAnsi="Arial" w:cs="Arial"/>
          <w:sz w:val="22"/>
          <w:szCs w:val="22"/>
        </w:rPr>
      </w:pPr>
      <w:bookmarkStart w:id="6" w:name="_Toc288225428"/>
      <w:r w:rsidRPr="008047D6">
        <w:rPr>
          <w:rFonts w:ascii="Arial" w:hAnsi="Arial" w:cs="Arial"/>
          <w:sz w:val="22"/>
          <w:szCs w:val="22"/>
        </w:rPr>
        <w:t>2.</w:t>
      </w:r>
      <w:r w:rsidRPr="008047D6">
        <w:rPr>
          <w:rFonts w:ascii="Arial" w:hAnsi="Arial" w:cs="Arial"/>
          <w:sz w:val="22"/>
          <w:szCs w:val="22"/>
        </w:rPr>
        <w:tab/>
        <w:t xml:space="preserve">VISION </w:t>
      </w:r>
      <w:smartTag w:uri="urn:schemas-microsoft-com:office:smarttags" w:element="stockticker">
        <w:r w:rsidRPr="008047D6">
          <w:rPr>
            <w:rFonts w:ascii="Arial" w:hAnsi="Arial" w:cs="Arial"/>
            <w:sz w:val="22"/>
            <w:szCs w:val="22"/>
          </w:rPr>
          <w:t>AND</w:t>
        </w:r>
      </w:smartTag>
      <w:r w:rsidRPr="008047D6">
        <w:rPr>
          <w:rFonts w:ascii="Arial" w:hAnsi="Arial" w:cs="Arial"/>
          <w:sz w:val="22"/>
          <w:szCs w:val="22"/>
        </w:rPr>
        <w:t xml:space="preserve"> ROLE</w:t>
      </w:r>
      <w:bookmarkEnd w:id="4"/>
      <w:bookmarkEnd w:id="5"/>
      <w:bookmarkEnd w:id="6"/>
    </w:p>
    <w:p w:rsidR="009E07BA" w:rsidRPr="008047D6" w:rsidRDefault="009E07BA" w:rsidP="00D40EA8">
      <w:pPr>
        <w:pStyle w:val="Heading7"/>
        <w:keepLines/>
        <w:widowControl w:val="0"/>
        <w:spacing w:before="120" w:after="240"/>
        <w:rPr>
          <w:rFonts w:ascii="Arial" w:hAnsi="Arial" w:cs="Arial"/>
          <w:sz w:val="22"/>
          <w:szCs w:val="22"/>
        </w:rPr>
      </w:pPr>
      <w:r w:rsidRPr="008047D6">
        <w:rPr>
          <w:rFonts w:ascii="Arial" w:hAnsi="Arial" w:cs="Arial"/>
          <w:sz w:val="22"/>
          <w:szCs w:val="22"/>
        </w:rPr>
        <w:t>Our Vision</w:t>
      </w:r>
    </w:p>
    <w:p w:rsidR="009E07BA" w:rsidRPr="008047D6" w:rsidRDefault="009E07BA" w:rsidP="00D40EA8">
      <w:pPr>
        <w:keepNext/>
        <w:keepLines/>
        <w:widowControl w:val="0"/>
        <w:spacing w:after="120"/>
        <w:jc w:val="both"/>
        <w:rPr>
          <w:rFonts w:ascii="Arial" w:hAnsi="Arial" w:cs="Arial"/>
          <w:sz w:val="22"/>
          <w:szCs w:val="22"/>
        </w:rPr>
      </w:pPr>
      <w:r w:rsidRPr="008047D6">
        <w:rPr>
          <w:rFonts w:ascii="Arial" w:hAnsi="Arial" w:cs="Arial"/>
          <w:sz w:val="22"/>
          <w:szCs w:val="22"/>
        </w:rPr>
        <w:t xml:space="preserve">Our vision is a Tasmanian community safe from the impact of fire and other emergencies. </w:t>
      </w:r>
    </w:p>
    <w:p w:rsidR="004F5AE5" w:rsidRPr="008047D6" w:rsidRDefault="004F5AE5" w:rsidP="004F5AE5">
      <w:pPr>
        <w:keepNext/>
        <w:keepLines/>
        <w:widowControl w:val="0"/>
        <w:spacing w:before="120" w:after="240"/>
        <w:jc w:val="both"/>
        <w:rPr>
          <w:rFonts w:ascii="Arial" w:hAnsi="Arial" w:cs="Arial"/>
          <w:b/>
          <w:sz w:val="22"/>
          <w:szCs w:val="22"/>
        </w:rPr>
      </w:pPr>
      <w:r w:rsidRPr="008047D6">
        <w:rPr>
          <w:rFonts w:ascii="Arial" w:hAnsi="Arial" w:cs="Arial"/>
          <w:b/>
          <w:sz w:val="22"/>
          <w:szCs w:val="22"/>
        </w:rPr>
        <w:t>Our Role</w:t>
      </w:r>
    </w:p>
    <w:p w:rsidR="004F5AE5" w:rsidRPr="008047D6" w:rsidRDefault="004F5AE5" w:rsidP="004F5AE5">
      <w:pPr>
        <w:keepNext/>
        <w:keepLines/>
        <w:widowControl w:val="0"/>
        <w:spacing w:after="120"/>
        <w:jc w:val="both"/>
        <w:rPr>
          <w:rFonts w:ascii="Arial" w:hAnsi="Arial" w:cs="Arial"/>
          <w:sz w:val="22"/>
          <w:szCs w:val="22"/>
        </w:rPr>
      </w:pPr>
      <w:r w:rsidRPr="008047D6">
        <w:rPr>
          <w:rFonts w:ascii="Arial" w:hAnsi="Arial" w:cs="Arial"/>
          <w:sz w:val="22"/>
          <w:szCs w:val="22"/>
        </w:rPr>
        <w:t>Our role is to protect life, property and the environment from the impact of fire and other emergencies by:</w:t>
      </w:r>
    </w:p>
    <w:p w:rsidR="004F5AE5" w:rsidRDefault="004F5AE5" w:rsidP="004F5AE5">
      <w:pPr>
        <w:keepNext/>
        <w:keepLines/>
        <w:widowControl w:val="0"/>
        <w:numPr>
          <w:ilvl w:val="0"/>
          <w:numId w:val="8"/>
        </w:numPr>
        <w:tabs>
          <w:tab w:val="clear" w:pos="780"/>
          <w:tab w:val="num" w:pos="540"/>
        </w:tabs>
        <w:spacing w:after="120"/>
        <w:ind w:left="539" w:hanging="539"/>
        <w:jc w:val="both"/>
        <w:rPr>
          <w:rFonts w:ascii="Arial" w:hAnsi="Arial" w:cs="Arial"/>
          <w:sz w:val="22"/>
          <w:szCs w:val="22"/>
        </w:rPr>
      </w:pPr>
      <w:r w:rsidRPr="008047D6">
        <w:rPr>
          <w:rFonts w:ascii="Arial" w:hAnsi="Arial" w:cs="Arial"/>
          <w:sz w:val="22"/>
          <w:szCs w:val="22"/>
        </w:rPr>
        <w:t xml:space="preserve">promoting fire safety </w:t>
      </w:r>
      <w:r>
        <w:rPr>
          <w:rFonts w:ascii="Arial" w:hAnsi="Arial" w:cs="Arial"/>
          <w:sz w:val="22"/>
          <w:szCs w:val="22"/>
        </w:rPr>
        <w:t>across</w:t>
      </w:r>
      <w:r w:rsidRPr="008047D6">
        <w:rPr>
          <w:rFonts w:ascii="Arial" w:hAnsi="Arial" w:cs="Arial"/>
          <w:sz w:val="22"/>
          <w:szCs w:val="22"/>
        </w:rPr>
        <w:t xml:space="preserve"> the community</w:t>
      </w:r>
      <w:r>
        <w:rPr>
          <w:rFonts w:ascii="Arial" w:hAnsi="Arial" w:cs="Arial"/>
          <w:sz w:val="22"/>
          <w:szCs w:val="22"/>
        </w:rPr>
        <w:t>; and</w:t>
      </w:r>
      <w:r w:rsidRPr="008047D6">
        <w:rPr>
          <w:rFonts w:ascii="Arial" w:hAnsi="Arial" w:cs="Arial"/>
          <w:sz w:val="22"/>
          <w:szCs w:val="22"/>
        </w:rPr>
        <w:t xml:space="preserve"> </w:t>
      </w:r>
    </w:p>
    <w:p w:rsidR="0099324F" w:rsidRDefault="004F5AE5">
      <w:pPr>
        <w:keepNext/>
        <w:keepLines/>
        <w:widowControl w:val="0"/>
        <w:numPr>
          <w:ilvl w:val="0"/>
          <w:numId w:val="8"/>
        </w:numPr>
        <w:tabs>
          <w:tab w:val="clear" w:pos="780"/>
          <w:tab w:val="num" w:pos="540"/>
        </w:tabs>
        <w:spacing w:after="120"/>
        <w:ind w:left="539" w:hanging="539"/>
        <w:jc w:val="both"/>
        <w:rPr>
          <w:rFonts w:ascii="Arial" w:hAnsi="Arial" w:cs="Arial"/>
          <w:sz w:val="22"/>
          <w:szCs w:val="22"/>
        </w:rPr>
      </w:pPr>
      <w:r w:rsidRPr="008047D6">
        <w:rPr>
          <w:rFonts w:ascii="Arial" w:hAnsi="Arial" w:cs="Arial"/>
          <w:sz w:val="22"/>
          <w:szCs w:val="22"/>
        </w:rPr>
        <w:t xml:space="preserve">providing </w:t>
      </w:r>
      <w:r w:rsidRPr="006C3469">
        <w:rPr>
          <w:rFonts w:ascii="Arial" w:hAnsi="Arial" w:cs="Arial"/>
          <w:sz w:val="22"/>
          <w:szCs w:val="22"/>
        </w:rPr>
        <w:t>an effective</w:t>
      </w:r>
      <w:r w:rsidRPr="008047D6">
        <w:rPr>
          <w:rFonts w:ascii="Arial" w:hAnsi="Arial" w:cs="Arial"/>
          <w:sz w:val="22"/>
          <w:szCs w:val="22"/>
        </w:rPr>
        <w:t xml:space="preserve"> response to emergencies</w:t>
      </w:r>
      <w:r>
        <w:rPr>
          <w:rFonts w:ascii="Arial" w:hAnsi="Arial" w:cs="Arial"/>
          <w:sz w:val="22"/>
          <w:szCs w:val="22"/>
        </w:rPr>
        <w:t>.</w:t>
      </w:r>
    </w:p>
    <w:p w:rsidR="008B7A25" w:rsidRPr="008047D6" w:rsidRDefault="008B7A25" w:rsidP="008B7A25">
      <w:pPr>
        <w:spacing w:before="120" w:after="240"/>
        <w:jc w:val="both"/>
        <w:rPr>
          <w:rFonts w:ascii="Arial" w:hAnsi="Arial" w:cs="Arial"/>
          <w:b/>
          <w:sz w:val="22"/>
          <w:szCs w:val="22"/>
        </w:rPr>
      </w:pPr>
      <w:r w:rsidRPr="008047D6">
        <w:rPr>
          <w:rFonts w:ascii="Arial" w:hAnsi="Arial" w:cs="Arial"/>
          <w:b/>
          <w:sz w:val="22"/>
          <w:szCs w:val="22"/>
        </w:rPr>
        <w:t>Our Values</w:t>
      </w:r>
    </w:p>
    <w:p w:rsidR="008B7A25" w:rsidRPr="008047D6" w:rsidRDefault="008B7A25" w:rsidP="008B7A25">
      <w:pPr>
        <w:spacing w:after="120"/>
        <w:jc w:val="both"/>
        <w:rPr>
          <w:rFonts w:ascii="Arial" w:hAnsi="Arial" w:cs="Arial"/>
          <w:sz w:val="22"/>
          <w:szCs w:val="22"/>
        </w:rPr>
      </w:pPr>
      <w:r w:rsidRPr="008047D6">
        <w:rPr>
          <w:rFonts w:ascii="Arial" w:hAnsi="Arial" w:cs="Arial"/>
          <w:sz w:val="22"/>
          <w:szCs w:val="22"/>
        </w:rPr>
        <w:t>The services we provide are driven by the needs of the community. In order to meet these needs, and the needs of our people, we have adopted the following core values:</w:t>
      </w:r>
    </w:p>
    <w:p w:rsidR="008B7A25" w:rsidRDefault="008B7A25" w:rsidP="008B7A25">
      <w:pPr>
        <w:spacing w:after="120"/>
        <w:jc w:val="both"/>
        <w:rPr>
          <w:rFonts w:ascii="Arial" w:hAnsi="Arial" w:cs="Arial"/>
          <w:i/>
          <w:sz w:val="22"/>
          <w:szCs w:val="22"/>
        </w:rPr>
      </w:pPr>
      <w:r w:rsidRPr="00B055F9">
        <w:rPr>
          <w:rFonts w:ascii="Arial" w:hAnsi="Arial" w:cs="Arial"/>
          <w:i/>
          <w:sz w:val="22"/>
          <w:szCs w:val="22"/>
        </w:rPr>
        <w:t>Service</w:t>
      </w:r>
    </w:p>
    <w:p w:rsidR="008B7A25" w:rsidRDefault="008B7A25" w:rsidP="008B7A25">
      <w:pPr>
        <w:spacing w:after="120"/>
        <w:jc w:val="both"/>
        <w:rPr>
          <w:rFonts w:ascii="Arial" w:hAnsi="Arial" w:cs="Arial"/>
          <w:sz w:val="22"/>
          <w:szCs w:val="22"/>
        </w:rPr>
      </w:pPr>
      <w:r w:rsidRPr="00B055F9">
        <w:rPr>
          <w:rFonts w:ascii="Arial" w:hAnsi="Arial" w:cs="Arial"/>
          <w:sz w:val="22"/>
          <w:szCs w:val="22"/>
        </w:rPr>
        <w:t>We value:</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 xml:space="preserve">Serving the Tasmanian community </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Being responsive to community needs</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Being progressive and delivering quality services</w:t>
      </w:r>
    </w:p>
    <w:p w:rsidR="008B7A25" w:rsidRDefault="008B7A25" w:rsidP="008B7A25">
      <w:pPr>
        <w:spacing w:before="240" w:after="120"/>
        <w:jc w:val="both"/>
        <w:rPr>
          <w:rFonts w:ascii="Arial" w:hAnsi="Arial" w:cs="Arial"/>
          <w:i/>
          <w:sz w:val="22"/>
          <w:szCs w:val="22"/>
        </w:rPr>
      </w:pPr>
      <w:r w:rsidRPr="00B055F9">
        <w:rPr>
          <w:rFonts w:ascii="Arial" w:hAnsi="Arial" w:cs="Arial"/>
          <w:i/>
          <w:sz w:val="22"/>
          <w:szCs w:val="22"/>
        </w:rPr>
        <w:t xml:space="preserve">Professionalism </w:t>
      </w:r>
    </w:p>
    <w:p w:rsidR="008B7A25" w:rsidRDefault="008B7A25" w:rsidP="008B7A25">
      <w:pPr>
        <w:spacing w:after="120"/>
        <w:jc w:val="both"/>
        <w:rPr>
          <w:rFonts w:ascii="Arial" w:hAnsi="Arial" w:cs="Arial"/>
          <w:sz w:val="22"/>
          <w:szCs w:val="22"/>
        </w:rPr>
      </w:pPr>
      <w:r w:rsidRPr="00B055F9">
        <w:rPr>
          <w:rFonts w:ascii="Arial" w:hAnsi="Arial" w:cs="Arial"/>
          <w:sz w:val="22"/>
          <w:szCs w:val="22"/>
        </w:rPr>
        <w:t xml:space="preserve">We value: </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Dedication and pride in our organisation</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Being skilled, efficient, committed and innovative</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Using our collective capabilities to deliver an excellent service</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 xml:space="preserve">Being accountable for our actions </w:t>
      </w:r>
    </w:p>
    <w:p w:rsidR="008B7A25" w:rsidRDefault="008B7A25" w:rsidP="008B7A25">
      <w:pPr>
        <w:spacing w:before="240" w:after="120"/>
        <w:jc w:val="both"/>
        <w:rPr>
          <w:rFonts w:ascii="Arial" w:hAnsi="Arial" w:cs="Arial"/>
          <w:i/>
          <w:sz w:val="22"/>
          <w:szCs w:val="22"/>
        </w:rPr>
      </w:pPr>
      <w:r w:rsidRPr="00B055F9">
        <w:rPr>
          <w:rFonts w:ascii="Arial" w:hAnsi="Arial" w:cs="Arial"/>
          <w:i/>
          <w:sz w:val="22"/>
          <w:szCs w:val="22"/>
        </w:rPr>
        <w:t>Integrity</w:t>
      </w:r>
    </w:p>
    <w:p w:rsidR="008B7A25" w:rsidRDefault="008B7A25" w:rsidP="008B7A25">
      <w:pPr>
        <w:spacing w:after="120"/>
        <w:jc w:val="both"/>
        <w:rPr>
          <w:rFonts w:ascii="Arial" w:hAnsi="Arial" w:cs="Arial"/>
          <w:sz w:val="22"/>
          <w:szCs w:val="22"/>
        </w:rPr>
      </w:pPr>
      <w:r w:rsidRPr="00B055F9">
        <w:rPr>
          <w:rFonts w:ascii="Arial" w:hAnsi="Arial" w:cs="Arial"/>
          <w:sz w:val="22"/>
          <w:szCs w:val="22"/>
        </w:rPr>
        <w:t>We value:</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 xml:space="preserve">Being trustworthy and ethical </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 xml:space="preserve">Treating each other fairly and honestly </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Having the courage to do the right thing</w:t>
      </w:r>
    </w:p>
    <w:p w:rsidR="008B7A25" w:rsidRDefault="008B7A25" w:rsidP="008B7A25">
      <w:pPr>
        <w:spacing w:before="240" w:after="120"/>
        <w:jc w:val="both"/>
        <w:rPr>
          <w:rFonts w:ascii="Arial" w:hAnsi="Arial" w:cs="Arial"/>
          <w:i/>
          <w:sz w:val="22"/>
          <w:szCs w:val="22"/>
        </w:rPr>
      </w:pPr>
      <w:r w:rsidRPr="00B055F9">
        <w:rPr>
          <w:rFonts w:ascii="Arial" w:hAnsi="Arial" w:cs="Arial"/>
          <w:i/>
          <w:sz w:val="22"/>
          <w:szCs w:val="22"/>
        </w:rPr>
        <w:t>Consideration</w:t>
      </w:r>
    </w:p>
    <w:p w:rsidR="008B7A25" w:rsidRDefault="008B7A25" w:rsidP="008B7A25">
      <w:pPr>
        <w:spacing w:after="120"/>
        <w:jc w:val="both"/>
        <w:rPr>
          <w:rFonts w:ascii="Arial" w:hAnsi="Arial" w:cs="Arial"/>
          <w:sz w:val="22"/>
          <w:szCs w:val="22"/>
        </w:rPr>
      </w:pPr>
      <w:r w:rsidRPr="00B055F9">
        <w:rPr>
          <w:rFonts w:ascii="Arial" w:hAnsi="Arial" w:cs="Arial"/>
          <w:sz w:val="22"/>
          <w:szCs w:val="22"/>
        </w:rPr>
        <w:t>We value:</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 xml:space="preserve">Each other </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Working together to achieve our goals</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Treating each other with respect and understanding</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Being supportive, compassionate and helping each other</w:t>
      </w:r>
    </w:p>
    <w:p w:rsidR="00471D55" w:rsidRDefault="00471D55">
      <w:pPr>
        <w:rPr>
          <w:rFonts w:ascii="Arial" w:hAnsi="Arial" w:cs="Arial"/>
          <w:b/>
          <w:sz w:val="22"/>
          <w:szCs w:val="22"/>
          <w:lang w:eastAsia="en-US"/>
        </w:rPr>
      </w:pPr>
      <w:bookmarkStart w:id="7" w:name="_Toc477750214"/>
      <w:bookmarkStart w:id="8" w:name="_Toc509828788"/>
      <w:bookmarkStart w:id="9" w:name="_Toc288225429"/>
      <w:r>
        <w:rPr>
          <w:rFonts w:ascii="Arial" w:hAnsi="Arial" w:cs="Arial"/>
          <w:sz w:val="22"/>
          <w:szCs w:val="22"/>
        </w:rPr>
        <w:br w:type="page"/>
      </w:r>
    </w:p>
    <w:p w:rsidR="009E07BA" w:rsidRPr="008047D6" w:rsidRDefault="009E07BA" w:rsidP="00A85F83">
      <w:pPr>
        <w:pStyle w:val="Heading1"/>
        <w:tabs>
          <w:tab w:val="left" w:pos="540"/>
        </w:tabs>
        <w:spacing w:before="360" w:after="240"/>
        <w:rPr>
          <w:rFonts w:ascii="Arial" w:hAnsi="Arial" w:cs="Arial"/>
          <w:sz w:val="22"/>
          <w:szCs w:val="22"/>
        </w:rPr>
      </w:pPr>
      <w:r w:rsidRPr="00CA21E0">
        <w:rPr>
          <w:rFonts w:ascii="Arial" w:hAnsi="Arial" w:cs="Arial"/>
          <w:sz w:val="22"/>
          <w:szCs w:val="22"/>
        </w:rPr>
        <w:t>3.</w:t>
      </w:r>
      <w:r w:rsidRPr="00CA21E0">
        <w:rPr>
          <w:rFonts w:ascii="Arial" w:hAnsi="Arial" w:cs="Arial"/>
          <w:sz w:val="22"/>
          <w:szCs w:val="22"/>
        </w:rPr>
        <w:tab/>
      </w:r>
      <w:smartTag w:uri="urn:schemas-microsoft-com:office:smarttags" w:element="stockticker">
        <w:r w:rsidRPr="00CA21E0">
          <w:rPr>
            <w:rFonts w:ascii="Arial" w:hAnsi="Arial" w:cs="Arial"/>
            <w:sz w:val="22"/>
            <w:szCs w:val="22"/>
          </w:rPr>
          <w:t>MAIN</w:t>
        </w:r>
      </w:smartTag>
      <w:r w:rsidRPr="00CA21E0">
        <w:rPr>
          <w:rFonts w:ascii="Arial" w:hAnsi="Arial" w:cs="Arial"/>
          <w:sz w:val="22"/>
          <w:szCs w:val="22"/>
        </w:rPr>
        <w:t xml:space="preserve"> UNDERTAKINGS</w:t>
      </w:r>
      <w:bookmarkEnd w:id="7"/>
      <w:bookmarkEnd w:id="8"/>
      <w:bookmarkEnd w:id="9"/>
    </w:p>
    <w:p w:rsidR="00175F5C" w:rsidRPr="008047D6" w:rsidRDefault="00175F5C" w:rsidP="00175F5C">
      <w:pPr>
        <w:spacing w:after="120"/>
        <w:jc w:val="both"/>
        <w:rPr>
          <w:rFonts w:ascii="Arial" w:hAnsi="Arial" w:cs="Arial"/>
          <w:sz w:val="22"/>
          <w:szCs w:val="22"/>
        </w:rPr>
      </w:pPr>
      <w:r w:rsidRPr="008047D6">
        <w:rPr>
          <w:rFonts w:ascii="Arial" w:hAnsi="Arial" w:cs="Arial"/>
          <w:sz w:val="22"/>
          <w:szCs w:val="22"/>
        </w:rPr>
        <w:t xml:space="preserve">The main undertakings of the </w:t>
      </w:r>
      <w:r>
        <w:rPr>
          <w:rFonts w:ascii="Arial" w:hAnsi="Arial" w:cs="Arial"/>
          <w:sz w:val="22"/>
          <w:szCs w:val="22"/>
        </w:rPr>
        <w:t>Commission</w:t>
      </w:r>
      <w:r w:rsidRPr="008047D6">
        <w:rPr>
          <w:rFonts w:ascii="Arial" w:hAnsi="Arial" w:cs="Arial"/>
          <w:sz w:val="22"/>
          <w:szCs w:val="22"/>
        </w:rPr>
        <w:t xml:space="preserve">, put into effect by the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 are:</w:t>
      </w:r>
    </w:p>
    <w:p w:rsidR="00175F5C" w:rsidRDefault="00175F5C" w:rsidP="00175F5C">
      <w:pPr>
        <w:numPr>
          <w:ilvl w:val="0"/>
          <w:numId w:val="10"/>
        </w:numPr>
        <w:tabs>
          <w:tab w:val="clear" w:pos="780"/>
          <w:tab w:val="num" w:pos="540"/>
        </w:tabs>
        <w:spacing w:after="120"/>
        <w:ind w:left="540" w:hanging="540"/>
        <w:jc w:val="both"/>
        <w:rPr>
          <w:rFonts w:ascii="Arial" w:hAnsi="Arial" w:cs="Arial"/>
          <w:sz w:val="22"/>
          <w:szCs w:val="22"/>
        </w:rPr>
      </w:pPr>
      <w:r w:rsidRPr="008047D6">
        <w:rPr>
          <w:rFonts w:ascii="Arial" w:hAnsi="Arial" w:cs="Arial"/>
          <w:sz w:val="22"/>
          <w:szCs w:val="22"/>
        </w:rPr>
        <w:t>to assist the community to reduce the incidence and impact of unwanted fires and to empower people to act safely when fire threatens</w:t>
      </w:r>
      <w:r>
        <w:rPr>
          <w:rFonts w:ascii="Arial" w:hAnsi="Arial" w:cs="Arial"/>
          <w:sz w:val="22"/>
          <w:szCs w:val="22"/>
        </w:rPr>
        <w:t xml:space="preserve">; and </w:t>
      </w:r>
      <w:r w:rsidRPr="008047D6">
        <w:rPr>
          <w:rFonts w:ascii="Arial" w:hAnsi="Arial" w:cs="Arial"/>
          <w:sz w:val="22"/>
          <w:szCs w:val="22"/>
        </w:rPr>
        <w:t xml:space="preserve"> </w:t>
      </w:r>
    </w:p>
    <w:p w:rsidR="00175F5C" w:rsidRPr="00175F5C" w:rsidRDefault="00175F5C" w:rsidP="00175F5C">
      <w:pPr>
        <w:numPr>
          <w:ilvl w:val="0"/>
          <w:numId w:val="10"/>
        </w:numPr>
        <w:tabs>
          <w:tab w:val="clear" w:pos="780"/>
          <w:tab w:val="num" w:pos="540"/>
        </w:tabs>
        <w:spacing w:after="120"/>
        <w:ind w:left="540" w:hanging="540"/>
        <w:jc w:val="both"/>
        <w:rPr>
          <w:rFonts w:ascii="Arial" w:hAnsi="Arial" w:cs="Arial"/>
          <w:sz w:val="22"/>
          <w:szCs w:val="22"/>
        </w:rPr>
      </w:pPr>
      <w:r w:rsidRPr="008047D6">
        <w:rPr>
          <w:rFonts w:ascii="Arial" w:hAnsi="Arial" w:cs="Arial"/>
          <w:sz w:val="22"/>
          <w:szCs w:val="22"/>
        </w:rPr>
        <w:t xml:space="preserve">to provide </w:t>
      </w:r>
      <w:r w:rsidRPr="006C3469">
        <w:rPr>
          <w:rFonts w:ascii="Arial" w:hAnsi="Arial" w:cs="Arial"/>
          <w:sz w:val="22"/>
          <w:szCs w:val="22"/>
        </w:rPr>
        <w:t>an effective</w:t>
      </w:r>
      <w:r w:rsidRPr="008047D6">
        <w:rPr>
          <w:rFonts w:ascii="Arial" w:hAnsi="Arial" w:cs="Arial"/>
          <w:sz w:val="22"/>
          <w:szCs w:val="22"/>
        </w:rPr>
        <w:t xml:space="preserve"> emergency response</w:t>
      </w:r>
      <w:r>
        <w:rPr>
          <w:rFonts w:ascii="Arial" w:hAnsi="Arial" w:cs="Arial"/>
          <w:sz w:val="22"/>
          <w:szCs w:val="22"/>
        </w:rPr>
        <w:t>.</w:t>
      </w:r>
    </w:p>
    <w:p w:rsidR="002634AE" w:rsidRPr="008047D6" w:rsidRDefault="009B551D" w:rsidP="002634AE">
      <w:pPr>
        <w:spacing w:after="120"/>
        <w:jc w:val="both"/>
        <w:rPr>
          <w:rFonts w:ascii="Arial" w:hAnsi="Arial" w:cs="Arial"/>
          <w:sz w:val="22"/>
          <w:szCs w:val="22"/>
        </w:rPr>
      </w:pPr>
      <w:r w:rsidRPr="008047D6">
        <w:rPr>
          <w:rFonts w:ascii="Arial" w:hAnsi="Arial" w:cs="Arial"/>
          <w:sz w:val="22"/>
          <w:szCs w:val="22"/>
        </w:rPr>
        <w:t xml:space="preserve">The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 xml:space="preserve"> undertakes emergency response through </w:t>
      </w:r>
      <w:r w:rsidR="008E1749" w:rsidRPr="008047D6">
        <w:rPr>
          <w:rFonts w:ascii="Arial" w:hAnsi="Arial" w:cs="Arial"/>
          <w:sz w:val="22"/>
          <w:szCs w:val="22"/>
        </w:rPr>
        <w:t xml:space="preserve">its </w:t>
      </w:r>
      <w:r w:rsidR="00FF1495" w:rsidRPr="008047D6">
        <w:rPr>
          <w:rFonts w:ascii="Arial" w:hAnsi="Arial" w:cs="Arial"/>
          <w:sz w:val="22"/>
          <w:szCs w:val="22"/>
        </w:rPr>
        <w:t>c</w:t>
      </w:r>
      <w:r w:rsidR="009E07BA" w:rsidRPr="008047D6">
        <w:rPr>
          <w:rFonts w:ascii="Arial" w:hAnsi="Arial" w:cs="Arial"/>
          <w:sz w:val="22"/>
          <w:szCs w:val="22"/>
        </w:rPr>
        <w:t xml:space="preserve">areer </w:t>
      </w:r>
      <w:r w:rsidR="00FF1495" w:rsidRPr="008047D6">
        <w:rPr>
          <w:rFonts w:ascii="Arial" w:hAnsi="Arial" w:cs="Arial"/>
          <w:sz w:val="22"/>
          <w:szCs w:val="22"/>
        </w:rPr>
        <w:t>b</w:t>
      </w:r>
      <w:r w:rsidR="009E07BA" w:rsidRPr="008047D6">
        <w:rPr>
          <w:rFonts w:ascii="Arial" w:hAnsi="Arial" w:cs="Arial"/>
          <w:sz w:val="22"/>
          <w:szCs w:val="22"/>
        </w:rPr>
        <w:t xml:space="preserve">rigades in Hobart, Launceston, Devonport and Burnie and an additional </w:t>
      </w:r>
      <w:r w:rsidR="003D53A9" w:rsidRPr="00BF48C4">
        <w:rPr>
          <w:rFonts w:ascii="Arial" w:hAnsi="Arial" w:cs="Arial"/>
          <w:sz w:val="22"/>
          <w:szCs w:val="22"/>
        </w:rPr>
        <w:t>2</w:t>
      </w:r>
      <w:r w:rsidR="003D53A9">
        <w:rPr>
          <w:rFonts w:ascii="Arial" w:hAnsi="Arial" w:cs="Arial"/>
          <w:sz w:val="22"/>
          <w:szCs w:val="22"/>
        </w:rPr>
        <w:t>33</w:t>
      </w:r>
      <w:r w:rsidR="003D53A9" w:rsidRPr="008047D6">
        <w:rPr>
          <w:rFonts w:ascii="Arial" w:hAnsi="Arial" w:cs="Arial"/>
          <w:sz w:val="22"/>
          <w:szCs w:val="22"/>
        </w:rPr>
        <w:t xml:space="preserve"> </w:t>
      </w:r>
      <w:r w:rsidR="00EB60FE">
        <w:rPr>
          <w:rFonts w:ascii="Arial" w:hAnsi="Arial" w:cs="Arial"/>
          <w:sz w:val="22"/>
          <w:szCs w:val="22"/>
        </w:rPr>
        <w:t>v</w:t>
      </w:r>
      <w:r w:rsidR="00EB60FE" w:rsidRPr="008047D6">
        <w:rPr>
          <w:rFonts w:ascii="Arial" w:hAnsi="Arial" w:cs="Arial"/>
          <w:sz w:val="22"/>
          <w:szCs w:val="22"/>
        </w:rPr>
        <w:t xml:space="preserve">olunteer </w:t>
      </w:r>
      <w:r w:rsidR="00EB60FE">
        <w:rPr>
          <w:rFonts w:ascii="Arial" w:hAnsi="Arial" w:cs="Arial"/>
          <w:sz w:val="22"/>
          <w:szCs w:val="22"/>
        </w:rPr>
        <w:t>b</w:t>
      </w:r>
      <w:r w:rsidR="00EB60FE" w:rsidRPr="008047D6">
        <w:rPr>
          <w:rFonts w:ascii="Arial" w:hAnsi="Arial" w:cs="Arial"/>
          <w:sz w:val="22"/>
          <w:szCs w:val="22"/>
        </w:rPr>
        <w:t xml:space="preserve">rigades </w:t>
      </w:r>
      <w:r w:rsidR="00F453D1" w:rsidRPr="008047D6">
        <w:rPr>
          <w:rFonts w:ascii="Arial" w:hAnsi="Arial" w:cs="Arial"/>
          <w:sz w:val="22"/>
          <w:szCs w:val="22"/>
        </w:rPr>
        <w:t>throughout the S</w:t>
      </w:r>
      <w:r w:rsidR="009E07BA" w:rsidRPr="008047D6">
        <w:rPr>
          <w:rFonts w:ascii="Arial" w:hAnsi="Arial" w:cs="Arial"/>
          <w:sz w:val="22"/>
          <w:szCs w:val="22"/>
        </w:rPr>
        <w:t xml:space="preserve">tate. Receipt of emergency calls and dispatch of brigades </w:t>
      </w:r>
      <w:r w:rsidR="00D67EE6" w:rsidRPr="008047D6">
        <w:rPr>
          <w:rFonts w:ascii="Arial" w:hAnsi="Arial" w:cs="Arial"/>
          <w:sz w:val="22"/>
          <w:szCs w:val="22"/>
        </w:rPr>
        <w:t xml:space="preserve">are </w:t>
      </w:r>
      <w:r w:rsidR="009E07BA" w:rsidRPr="008047D6">
        <w:rPr>
          <w:rFonts w:ascii="Arial" w:hAnsi="Arial" w:cs="Arial"/>
          <w:sz w:val="22"/>
          <w:szCs w:val="22"/>
        </w:rPr>
        <w:t xml:space="preserve">centrally managed by </w:t>
      </w:r>
      <w:smartTag w:uri="urn:schemas-microsoft-com:office:smarttags" w:element="PersonName">
        <w:r w:rsidR="009E07BA" w:rsidRPr="008047D6">
          <w:rPr>
            <w:rFonts w:ascii="Arial" w:hAnsi="Arial" w:cs="Arial"/>
            <w:sz w:val="22"/>
            <w:szCs w:val="22"/>
          </w:rPr>
          <w:t>FireComm</w:t>
        </w:r>
      </w:smartTag>
      <w:r w:rsidR="009E07BA" w:rsidRPr="008047D6">
        <w:rPr>
          <w:rFonts w:ascii="Arial" w:hAnsi="Arial" w:cs="Arial"/>
          <w:sz w:val="22"/>
          <w:szCs w:val="22"/>
        </w:rPr>
        <w:t xml:space="preserve"> which is located in </w:t>
      </w:r>
      <w:smartTag w:uri="urn:schemas-microsoft-com:office:smarttags" w:element="City">
        <w:smartTag w:uri="urn:schemas-microsoft-com:office:smarttags" w:element="place">
          <w:smartTag w:uri="urn:schemas-microsoft-com:office:smarttags" w:element="PersonName">
            <w:r w:rsidR="009E07BA" w:rsidRPr="008047D6">
              <w:rPr>
                <w:rFonts w:ascii="Arial" w:hAnsi="Arial" w:cs="Arial"/>
                <w:sz w:val="22"/>
                <w:szCs w:val="22"/>
              </w:rPr>
              <w:t>Hobart</w:t>
            </w:r>
          </w:smartTag>
        </w:smartTag>
      </w:smartTag>
      <w:r w:rsidR="009E07BA" w:rsidRPr="008047D6">
        <w:rPr>
          <w:rFonts w:ascii="Arial" w:hAnsi="Arial" w:cs="Arial"/>
          <w:sz w:val="22"/>
          <w:szCs w:val="22"/>
        </w:rPr>
        <w:t xml:space="preserve">. </w:t>
      </w:r>
      <w:r w:rsidR="002634AE" w:rsidRPr="008047D6">
        <w:rPr>
          <w:rFonts w:ascii="Arial" w:hAnsi="Arial" w:cs="Arial"/>
          <w:sz w:val="22"/>
          <w:szCs w:val="22"/>
        </w:rPr>
        <w:t xml:space="preserve">Training </w:t>
      </w:r>
      <w:r w:rsidR="00CA21E0">
        <w:rPr>
          <w:rFonts w:ascii="Arial" w:hAnsi="Arial" w:cs="Arial"/>
          <w:sz w:val="22"/>
          <w:szCs w:val="22"/>
        </w:rPr>
        <w:t xml:space="preserve">is provided </w:t>
      </w:r>
      <w:r w:rsidR="002634AE" w:rsidRPr="008047D6">
        <w:rPr>
          <w:rFonts w:ascii="Arial" w:hAnsi="Arial" w:cs="Arial"/>
          <w:sz w:val="22"/>
          <w:szCs w:val="22"/>
        </w:rPr>
        <w:t>to both career and volunteer firefighters</w:t>
      </w:r>
      <w:r w:rsidR="00BD144B" w:rsidRPr="008047D6">
        <w:rPr>
          <w:rFonts w:ascii="Arial" w:hAnsi="Arial" w:cs="Arial"/>
          <w:sz w:val="22"/>
          <w:szCs w:val="22"/>
        </w:rPr>
        <w:t>,</w:t>
      </w:r>
      <w:r w:rsidR="002634AE" w:rsidRPr="008047D6">
        <w:rPr>
          <w:rFonts w:ascii="Arial" w:hAnsi="Arial" w:cs="Arial"/>
          <w:sz w:val="22"/>
          <w:szCs w:val="22"/>
        </w:rPr>
        <w:t xml:space="preserve"> enabling them to be </w:t>
      </w:r>
      <w:r w:rsidR="00CA21E0">
        <w:rPr>
          <w:rFonts w:ascii="Arial" w:hAnsi="Arial" w:cs="Arial"/>
          <w:sz w:val="22"/>
          <w:szCs w:val="22"/>
        </w:rPr>
        <w:t xml:space="preserve">safe and </w:t>
      </w:r>
      <w:r w:rsidR="002634AE" w:rsidRPr="008047D6">
        <w:rPr>
          <w:rFonts w:ascii="Arial" w:hAnsi="Arial" w:cs="Arial"/>
          <w:sz w:val="22"/>
          <w:szCs w:val="22"/>
        </w:rPr>
        <w:t xml:space="preserve">effective members of </w:t>
      </w:r>
      <w:smartTag w:uri="urn:schemas-microsoft-com:office:smarttags" w:element="stockticker">
        <w:r w:rsidR="002634AE" w:rsidRPr="008047D6">
          <w:rPr>
            <w:rFonts w:ascii="Arial" w:hAnsi="Arial" w:cs="Arial"/>
            <w:sz w:val="22"/>
            <w:szCs w:val="22"/>
          </w:rPr>
          <w:t>TFS</w:t>
        </w:r>
      </w:smartTag>
      <w:r w:rsidR="002634AE" w:rsidRPr="008047D6">
        <w:rPr>
          <w:rFonts w:ascii="Arial" w:hAnsi="Arial" w:cs="Arial"/>
          <w:sz w:val="22"/>
          <w:szCs w:val="22"/>
        </w:rPr>
        <w:t xml:space="preserve">. Training is delivered both on-station, in local venues and at </w:t>
      </w:r>
      <w:smartTag w:uri="urn:schemas-microsoft-com:office:smarttags" w:element="stockticker">
        <w:r w:rsidR="00CA21E0">
          <w:rPr>
            <w:rFonts w:ascii="Arial" w:hAnsi="Arial" w:cs="Arial"/>
            <w:sz w:val="22"/>
            <w:szCs w:val="22"/>
          </w:rPr>
          <w:t>TFS</w:t>
        </w:r>
      </w:smartTag>
      <w:r w:rsidR="00CA21E0">
        <w:rPr>
          <w:rFonts w:ascii="Arial" w:hAnsi="Arial" w:cs="Arial"/>
          <w:sz w:val="22"/>
          <w:szCs w:val="22"/>
        </w:rPr>
        <w:t>’</w:t>
      </w:r>
      <w:r w:rsidR="002634AE" w:rsidRPr="008047D6">
        <w:rPr>
          <w:rFonts w:ascii="Arial" w:hAnsi="Arial" w:cs="Arial"/>
          <w:sz w:val="22"/>
          <w:szCs w:val="22"/>
        </w:rPr>
        <w:t xml:space="preserve"> hot-fire training facilities at </w:t>
      </w:r>
      <w:smartTag w:uri="urn:schemas-microsoft-com:office:smarttags" w:element="City">
        <w:smartTag w:uri="urn:schemas-microsoft-com:office:smarttags" w:element="place">
          <w:r w:rsidR="002634AE" w:rsidRPr="008047D6">
            <w:rPr>
              <w:rFonts w:ascii="Arial" w:hAnsi="Arial" w:cs="Arial"/>
              <w:sz w:val="22"/>
              <w:szCs w:val="22"/>
            </w:rPr>
            <w:t>Cambridge</w:t>
          </w:r>
        </w:smartTag>
      </w:smartTag>
      <w:r w:rsidR="00E326C5" w:rsidRPr="008047D6">
        <w:rPr>
          <w:rFonts w:ascii="Arial" w:hAnsi="Arial" w:cs="Arial"/>
          <w:sz w:val="22"/>
          <w:szCs w:val="22"/>
        </w:rPr>
        <w:t>,</w:t>
      </w:r>
      <w:r w:rsidR="002634AE" w:rsidRPr="008047D6">
        <w:rPr>
          <w:rFonts w:ascii="Arial" w:hAnsi="Arial" w:cs="Arial"/>
          <w:sz w:val="22"/>
          <w:szCs w:val="22"/>
        </w:rPr>
        <w:t xml:space="preserve"> Launceston</w:t>
      </w:r>
      <w:r w:rsidR="00E326C5" w:rsidRPr="008047D6">
        <w:rPr>
          <w:rFonts w:ascii="Arial" w:hAnsi="Arial" w:cs="Arial"/>
          <w:sz w:val="22"/>
          <w:szCs w:val="22"/>
        </w:rPr>
        <w:t xml:space="preserve"> and Burnie</w:t>
      </w:r>
      <w:r w:rsidR="002634AE" w:rsidRPr="008047D6">
        <w:rPr>
          <w:rFonts w:ascii="Arial" w:hAnsi="Arial" w:cs="Arial"/>
          <w:sz w:val="22"/>
          <w:szCs w:val="22"/>
        </w:rPr>
        <w:t>.</w:t>
      </w:r>
    </w:p>
    <w:p w:rsidR="009E07BA" w:rsidRPr="008047D6" w:rsidRDefault="00CA21E0" w:rsidP="009E07BA">
      <w:pPr>
        <w:pStyle w:val="BodyText"/>
        <w:keepNext w:val="0"/>
        <w:keepLines w:val="0"/>
        <w:spacing w:after="120"/>
        <w:rPr>
          <w:rFonts w:ascii="Arial" w:hAnsi="Arial" w:cs="Arial"/>
          <w:sz w:val="22"/>
          <w:szCs w:val="22"/>
        </w:rPr>
      </w:pPr>
      <w:r>
        <w:rPr>
          <w:rFonts w:ascii="Arial" w:hAnsi="Arial" w:cs="Arial"/>
          <w:sz w:val="22"/>
          <w:szCs w:val="22"/>
        </w:rPr>
        <w:t xml:space="preserve">The other major </w:t>
      </w:r>
      <w:r w:rsidR="001D5B7C" w:rsidRPr="008047D6">
        <w:rPr>
          <w:rFonts w:ascii="Arial" w:hAnsi="Arial" w:cs="Arial"/>
          <w:sz w:val="22"/>
          <w:szCs w:val="22"/>
        </w:rPr>
        <w:t>role</w:t>
      </w:r>
      <w:r w:rsidR="00D67EE6" w:rsidRPr="008047D6">
        <w:rPr>
          <w:rFonts w:ascii="Arial" w:hAnsi="Arial" w:cs="Arial"/>
          <w:sz w:val="22"/>
          <w:szCs w:val="22"/>
        </w:rPr>
        <w:t xml:space="preserve"> of </w:t>
      </w:r>
      <w:smartTag w:uri="urn:schemas-microsoft-com:office:smarttags" w:element="stockticker">
        <w:r w:rsidR="00D67EE6" w:rsidRPr="008047D6">
          <w:rPr>
            <w:rFonts w:ascii="Arial" w:hAnsi="Arial" w:cs="Arial"/>
            <w:sz w:val="22"/>
            <w:szCs w:val="22"/>
          </w:rPr>
          <w:t>TFS</w:t>
        </w:r>
      </w:smartTag>
      <w:r w:rsidR="00D67EE6" w:rsidRPr="008047D6">
        <w:rPr>
          <w:rFonts w:ascii="Arial" w:hAnsi="Arial" w:cs="Arial"/>
          <w:sz w:val="22"/>
          <w:szCs w:val="22"/>
        </w:rPr>
        <w:t xml:space="preserve"> </w:t>
      </w:r>
      <w:r>
        <w:rPr>
          <w:rFonts w:ascii="Arial" w:hAnsi="Arial" w:cs="Arial"/>
          <w:sz w:val="22"/>
          <w:szCs w:val="22"/>
        </w:rPr>
        <w:t xml:space="preserve">is </w:t>
      </w:r>
      <w:r w:rsidR="009E07BA" w:rsidRPr="008047D6">
        <w:rPr>
          <w:rFonts w:ascii="Arial" w:hAnsi="Arial" w:cs="Arial"/>
          <w:sz w:val="22"/>
          <w:szCs w:val="22"/>
        </w:rPr>
        <w:t xml:space="preserve">to assist the community to reduce the incidence and impact of unwanted fires, and to empower people to act safely when fire threatens. </w:t>
      </w:r>
      <w:smartTag w:uri="urn:schemas-microsoft-com:office:smarttags" w:element="stockticker">
        <w:r>
          <w:rPr>
            <w:rFonts w:ascii="Arial" w:hAnsi="Arial" w:cs="Arial"/>
            <w:sz w:val="22"/>
            <w:szCs w:val="22"/>
          </w:rPr>
          <w:t>TFS</w:t>
        </w:r>
      </w:smartTag>
      <w:r>
        <w:rPr>
          <w:rFonts w:ascii="Arial" w:hAnsi="Arial" w:cs="Arial"/>
          <w:sz w:val="22"/>
          <w:szCs w:val="22"/>
        </w:rPr>
        <w:t xml:space="preserve"> </w:t>
      </w:r>
      <w:r w:rsidR="001D5B7C" w:rsidRPr="008047D6">
        <w:rPr>
          <w:rFonts w:ascii="Arial" w:hAnsi="Arial" w:cs="Arial"/>
          <w:sz w:val="22"/>
          <w:szCs w:val="22"/>
        </w:rPr>
        <w:t>pursu</w:t>
      </w:r>
      <w:r>
        <w:rPr>
          <w:rFonts w:ascii="Arial" w:hAnsi="Arial" w:cs="Arial"/>
          <w:sz w:val="22"/>
          <w:szCs w:val="22"/>
        </w:rPr>
        <w:t>es</w:t>
      </w:r>
      <w:r w:rsidR="001D5B7C" w:rsidRPr="008047D6">
        <w:rPr>
          <w:rFonts w:ascii="Arial" w:hAnsi="Arial" w:cs="Arial"/>
          <w:sz w:val="22"/>
          <w:szCs w:val="22"/>
        </w:rPr>
        <w:t xml:space="preserve"> these </w:t>
      </w:r>
      <w:r w:rsidR="009E07BA" w:rsidRPr="008047D6">
        <w:rPr>
          <w:rFonts w:ascii="Arial" w:hAnsi="Arial" w:cs="Arial"/>
          <w:sz w:val="22"/>
          <w:szCs w:val="22"/>
        </w:rPr>
        <w:t>goals through publicity</w:t>
      </w:r>
      <w:r w:rsidR="00FF1495" w:rsidRPr="008047D6">
        <w:rPr>
          <w:rFonts w:ascii="Arial" w:hAnsi="Arial" w:cs="Arial"/>
          <w:sz w:val="22"/>
          <w:szCs w:val="22"/>
        </w:rPr>
        <w:t>, training</w:t>
      </w:r>
      <w:r w:rsidR="009E07BA" w:rsidRPr="008047D6">
        <w:rPr>
          <w:rFonts w:ascii="Arial" w:hAnsi="Arial" w:cs="Arial"/>
          <w:sz w:val="22"/>
          <w:szCs w:val="22"/>
        </w:rPr>
        <w:t xml:space="preserve"> and education programs, through the sale and maintenance of fire </w:t>
      </w:r>
      <w:r w:rsidR="00FF1495" w:rsidRPr="008047D6">
        <w:rPr>
          <w:rFonts w:ascii="Arial" w:hAnsi="Arial" w:cs="Arial"/>
          <w:sz w:val="22"/>
          <w:szCs w:val="22"/>
        </w:rPr>
        <w:t xml:space="preserve">protection </w:t>
      </w:r>
      <w:r w:rsidR="009E07BA" w:rsidRPr="008047D6">
        <w:rPr>
          <w:rFonts w:ascii="Arial" w:hAnsi="Arial" w:cs="Arial"/>
          <w:sz w:val="22"/>
          <w:szCs w:val="22"/>
        </w:rPr>
        <w:t>equipment, and through monitoring and administering the application of fire safety legislation, codes and standards.</w:t>
      </w:r>
    </w:p>
    <w:p w:rsidR="00922041" w:rsidRPr="008047D6" w:rsidRDefault="00922041" w:rsidP="00922041">
      <w:pPr>
        <w:spacing w:before="100" w:beforeAutospacing="1" w:after="100" w:afterAutospacing="1"/>
        <w:jc w:val="both"/>
        <w:rPr>
          <w:rFonts w:ascii="Arial" w:hAnsi="Arial" w:cs="Arial"/>
          <w:sz w:val="22"/>
          <w:szCs w:val="22"/>
        </w:rPr>
      </w:pPr>
      <w:r w:rsidRPr="00C17F66">
        <w:rPr>
          <w:rFonts w:ascii="Arial" w:hAnsi="Arial" w:cs="Arial"/>
          <w:sz w:val="22"/>
          <w:szCs w:val="22"/>
        </w:rPr>
        <w:t xml:space="preserve">The delivery of </w:t>
      </w:r>
      <w:r w:rsidR="00CD6DBD" w:rsidRPr="00C17F66">
        <w:rPr>
          <w:rFonts w:ascii="Arial" w:hAnsi="Arial" w:cs="Arial"/>
          <w:sz w:val="22"/>
          <w:szCs w:val="22"/>
        </w:rPr>
        <w:t>our</w:t>
      </w:r>
      <w:r w:rsidRPr="00C17F66">
        <w:rPr>
          <w:rFonts w:ascii="Arial" w:hAnsi="Arial" w:cs="Arial"/>
          <w:sz w:val="22"/>
          <w:szCs w:val="22"/>
        </w:rPr>
        <w:t xml:space="preserve"> main undertakings is supported by the Corporate Services and Human Services </w:t>
      </w:r>
      <w:r w:rsidR="00CD6DBD" w:rsidRPr="00C17F66">
        <w:rPr>
          <w:rFonts w:ascii="Arial" w:hAnsi="Arial" w:cs="Arial"/>
          <w:sz w:val="22"/>
          <w:szCs w:val="22"/>
        </w:rPr>
        <w:t xml:space="preserve">functional </w:t>
      </w:r>
      <w:r w:rsidRPr="00C17F66">
        <w:rPr>
          <w:rFonts w:ascii="Arial" w:hAnsi="Arial" w:cs="Arial"/>
          <w:sz w:val="22"/>
          <w:szCs w:val="22"/>
        </w:rPr>
        <w:t>areas.</w:t>
      </w:r>
    </w:p>
    <w:p w:rsidR="00922041" w:rsidRPr="008047D6" w:rsidRDefault="00922041" w:rsidP="00922041">
      <w:pPr>
        <w:spacing w:before="100" w:beforeAutospacing="1" w:after="100" w:afterAutospacing="1"/>
        <w:jc w:val="both"/>
        <w:rPr>
          <w:rFonts w:ascii="Arial" w:hAnsi="Arial" w:cs="Arial"/>
          <w:sz w:val="22"/>
          <w:szCs w:val="22"/>
        </w:rPr>
      </w:pPr>
      <w:r w:rsidRPr="008047D6">
        <w:rPr>
          <w:rFonts w:ascii="Arial" w:hAnsi="Arial" w:cs="Arial"/>
          <w:sz w:val="22"/>
          <w:szCs w:val="22"/>
        </w:rPr>
        <w:t xml:space="preserve">Corporate Services provides </w:t>
      </w:r>
      <w:r w:rsidR="00CD6DBD" w:rsidRPr="008047D6">
        <w:rPr>
          <w:rFonts w:ascii="Arial" w:hAnsi="Arial" w:cs="Arial"/>
          <w:sz w:val="22"/>
          <w:szCs w:val="22"/>
        </w:rPr>
        <w:t xml:space="preserve">administrative, </w:t>
      </w:r>
      <w:r w:rsidRPr="008047D6">
        <w:rPr>
          <w:rFonts w:ascii="Arial" w:hAnsi="Arial" w:cs="Arial"/>
          <w:sz w:val="22"/>
          <w:szCs w:val="22"/>
        </w:rPr>
        <w:t>financial,</w:t>
      </w:r>
      <w:r w:rsidR="00CD6DBD" w:rsidRPr="008047D6">
        <w:rPr>
          <w:rFonts w:ascii="Arial" w:hAnsi="Arial" w:cs="Arial"/>
          <w:sz w:val="22"/>
          <w:szCs w:val="22"/>
        </w:rPr>
        <w:t xml:space="preserve"> communications,</w:t>
      </w:r>
      <w:r w:rsidRPr="008047D6">
        <w:rPr>
          <w:rFonts w:ascii="Arial" w:hAnsi="Arial" w:cs="Arial"/>
          <w:sz w:val="22"/>
          <w:szCs w:val="22"/>
        </w:rPr>
        <w:t xml:space="preserve"> information </w:t>
      </w:r>
      <w:r w:rsidR="00CD6DBD" w:rsidRPr="008047D6">
        <w:rPr>
          <w:rFonts w:ascii="Arial" w:hAnsi="Arial" w:cs="Arial"/>
          <w:sz w:val="22"/>
          <w:szCs w:val="22"/>
        </w:rPr>
        <w:t>management and engineering service</w:t>
      </w:r>
      <w:r w:rsidR="00D67EE6" w:rsidRPr="008047D6">
        <w:rPr>
          <w:rFonts w:ascii="Arial" w:hAnsi="Arial" w:cs="Arial"/>
          <w:sz w:val="22"/>
          <w:szCs w:val="22"/>
        </w:rPr>
        <w:t>s</w:t>
      </w:r>
      <w:r w:rsidR="00CD6DBD" w:rsidRPr="008047D6">
        <w:rPr>
          <w:rFonts w:ascii="Arial" w:hAnsi="Arial" w:cs="Arial"/>
          <w:sz w:val="22"/>
          <w:szCs w:val="22"/>
        </w:rPr>
        <w:t xml:space="preserve">. </w:t>
      </w:r>
      <w:r w:rsidRPr="008047D6">
        <w:rPr>
          <w:rFonts w:ascii="Arial" w:hAnsi="Arial" w:cs="Arial"/>
          <w:sz w:val="22"/>
          <w:szCs w:val="22"/>
        </w:rPr>
        <w:t xml:space="preserve">As part of Corporate Services, Communication Services manages the efficient operation of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 xml:space="preserve"> communications networks through the purchasing, programming, distribution and maintenance of communication equipment. </w:t>
      </w:r>
      <w:smartTag w:uri="urn:schemas-microsoft-com:office:smarttags" w:element="PersonName">
        <w:r w:rsidRPr="008047D6">
          <w:rPr>
            <w:rFonts w:ascii="Arial" w:hAnsi="Arial" w:cs="Arial"/>
            <w:sz w:val="22"/>
            <w:szCs w:val="22"/>
          </w:rPr>
          <w:t>Engineering Services</w:t>
        </w:r>
      </w:smartTag>
      <w:r w:rsidRPr="008047D6">
        <w:rPr>
          <w:rFonts w:ascii="Arial" w:hAnsi="Arial" w:cs="Arial"/>
          <w:sz w:val="22"/>
          <w:szCs w:val="22"/>
        </w:rPr>
        <w:t xml:space="preserve"> maintains the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 xml:space="preserve"> fleet of firefighting appliances </w:t>
      </w:r>
      <w:r w:rsidR="00D37654" w:rsidRPr="008047D6">
        <w:rPr>
          <w:rFonts w:ascii="Arial" w:hAnsi="Arial" w:cs="Arial"/>
          <w:sz w:val="22"/>
          <w:szCs w:val="22"/>
        </w:rPr>
        <w:t>state-wide</w:t>
      </w:r>
      <w:r w:rsidRPr="008047D6">
        <w:rPr>
          <w:rFonts w:ascii="Arial" w:hAnsi="Arial" w:cs="Arial"/>
          <w:sz w:val="22"/>
          <w:szCs w:val="22"/>
        </w:rPr>
        <w:t xml:space="preserve"> and fabricates fire tankers and other appliances.</w:t>
      </w:r>
    </w:p>
    <w:p w:rsidR="00922041" w:rsidRDefault="00922041" w:rsidP="00792340">
      <w:pPr>
        <w:spacing w:before="100" w:beforeAutospacing="1" w:after="100" w:afterAutospacing="1"/>
        <w:jc w:val="both"/>
        <w:rPr>
          <w:rFonts w:ascii="Arial" w:hAnsi="Arial" w:cs="Arial"/>
          <w:sz w:val="22"/>
          <w:szCs w:val="22"/>
        </w:rPr>
      </w:pPr>
      <w:r w:rsidRPr="008047D6">
        <w:rPr>
          <w:rFonts w:ascii="Arial" w:hAnsi="Arial" w:cs="Arial"/>
          <w:sz w:val="22"/>
          <w:szCs w:val="22"/>
        </w:rPr>
        <w:t xml:space="preserve">Human Services provides strategic human resources policy, systems and advice. </w:t>
      </w:r>
      <w:r w:rsidR="00CD6DBD" w:rsidRPr="008047D6">
        <w:rPr>
          <w:rFonts w:ascii="Arial" w:hAnsi="Arial" w:cs="Arial"/>
          <w:sz w:val="22"/>
          <w:szCs w:val="22"/>
        </w:rPr>
        <w:t>S</w:t>
      </w:r>
      <w:r w:rsidRPr="008047D6">
        <w:rPr>
          <w:rFonts w:ascii="Arial" w:hAnsi="Arial" w:cs="Arial"/>
          <w:sz w:val="22"/>
          <w:szCs w:val="22"/>
        </w:rPr>
        <w:t xml:space="preserve">ervices include volunteer support, occupational health and safety (including worker's compensation), learning and development systems, recruitment and remuneration, employee relations, and leadership and performance systems. </w:t>
      </w:r>
    </w:p>
    <w:p w:rsidR="009E07BA" w:rsidRPr="008047D6" w:rsidRDefault="00922041" w:rsidP="00400EB9">
      <w:pPr>
        <w:pStyle w:val="Heading1"/>
        <w:tabs>
          <w:tab w:val="left" w:pos="540"/>
        </w:tabs>
        <w:spacing w:before="360" w:after="240"/>
        <w:rPr>
          <w:rFonts w:ascii="Arial" w:hAnsi="Arial" w:cs="Arial"/>
          <w:sz w:val="22"/>
          <w:szCs w:val="22"/>
        </w:rPr>
      </w:pPr>
      <w:bookmarkStart w:id="10" w:name="_Toc288225430"/>
      <w:r w:rsidRPr="008047D6">
        <w:rPr>
          <w:rFonts w:ascii="Arial" w:hAnsi="Arial" w:cs="Arial"/>
          <w:sz w:val="22"/>
          <w:szCs w:val="22"/>
        </w:rPr>
        <w:t>4.</w:t>
      </w:r>
      <w:r w:rsidRPr="008047D6">
        <w:rPr>
          <w:rFonts w:ascii="Arial" w:hAnsi="Arial" w:cs="Arial"/>
          <w:sz w:val="22"/>
          <w:szCs w:val="22"/>
        </w:rPr>
        <w:tab/>
      </w:r>
      <w:bookmarkStart w:id="11" w:name="_Toc477750215"/>
      <w:bookmarkStart w:id="12" w:name="_Toc509828789"/>
      <w:r w:rsidR="009E07BA" w:rsidRPr="008047D6">
        <w:rPr>
          <w:rFonts w:ascii="Arial" w:hAnsi="Arial" w:cs="Arial"/>
          <w:sz w:val="22"/>
          <w:szCs w:val="22"/>
        </w:rPr>
        <w:t>OPERATING ENVIRONMENT</w:t>
      </w:r>
      <w:bookmarkEnd w:id="10"/>
      <w:bookmarkEnd w:id="11"/>
      <w:bookmarkEnd w:id="12"/>
    </w:p>
    <w:p w:rsidR="00481277" w:rsidRPr="008047D6" w:rsidRDefault="00481277" w:rsidP="00792340">
      <w:pPr>
        <w:spacing w:after="240"/>
        <w:rPr>
          <w:rFonts w:ascii="Arial" w:hAnsi="Arial" w:cs="Arial"/>
          <w:b/>
          <w:sz w:val="22"/>
          <w:szCs w:val="22"/>
          <w:lang w:val="en-US"/>
        </w:rPr>
      </w:pPr>
      <w:r w:rsidRPr="008047D6">
        <w:rPr>
          <w:rFonts w:ascii="Arial" w:hAnsi="Arial" w:cs="Arial"/>
          <w:b/>
          <w:sz w:val="22"/>
          <w:szCs w:val="22"/>
          <w:lang w:val="en-US"/>
        </w:rPr>
        <w:t>Legislative Environment</w:t>
      </w:r>
    </w:p>
    <w:p w:rsidR="00CD6DBD" w:rsidRPr="008047D6" w:rsidRDefault="009E07BA" w:rsidP="009E07BA">
      <w:pPr>
        <w:spacing w:after="120"/>
        <w:jc w:val="both"/>
        <w:rPr>
          <w:rFonts w:ascii="Arial" w:hAnsi="Arial" w:cs="Arial"/>
          <w:sz w:val="22"/>
          <w:szCs w:val="22"/>
        </w:rPr>
      </w:pPr>
      <w:r w:rsidRPr="008047D6">
        <w:rPr>
          <w:rFonts w:ascii="Arial" w:hAnsi="Arial" w:cs="Arial"/>
          <w:sz w:val="22"/>
          <w:szCs w:val="22"/>
        </w:rPr>
        <w:t>The Commission</w:t>
      </w:r>
      <w:r w:rsidR="00BA76E8" w:rsidRPr="008047D6">
        <w:rPr>
          <w:rFonts w:ascii="Arial" w:hAnsi="Arial" w:cs="Arial"/>
          <w:sz w:val="22"/>
          <w:szCs w:val="22"/>
        </w:rPr>
        <w:t xml:space="preserve"> is a statutory authority created by the</w:t>
      </w:r>
      <w:r w:rsidRPr="008047D6">
        <w:rPr>
          <w:rFonts w:ascii="Arial" w:hAnsi="Arial" w:cs="Arial"/>
          <w:sz w:val="22"/>
          <w:szCs w:val="22"/>
        </w:rPr>
        <w:t xml:space="preserve"> </w:t>
      </w:r>
      <w:r w:rsidRPr="008047D6">
        <w:rPr>
          <w:rFonts w:ascii="Arial" w:hAnsi="Arial" w:cs="Arial"/>
          <w:i/>
          <w:sz w:val="22"/>
          <w:szCs w:val="22"/>
        </w:rPr>
        <w:t>Fire Service Act 1979</w:t>
      </w:r>
      <w:r w:rsidR="00BA76E8" w:rsidRPr="008047D6">
        <w:rPr>
          <w:rFonts w:ascii="Arial" w:hAnsi="Arial" w:cs="Arial"/>
          <w:sz w:val="22"/>
          <w:szCs w:val="22"/>
        </w:rPr>
        <w:t xml:space="preserve">. The </w:t>
      </w:r>
      <w:smartTag w:uri="urn:schemas-microsoft-com:office:smarttags" w:element="stockticker">
        <w:r w:rsidR="00BA76E8" w:rsidRPr="008047D6">
          <w:rPr>
            <w:rFonts w:ascii="Arial" w:hAnsi="Arial" w:cs="Arial"/>
            <w:sz w:val="22"/>
            <w:szCs w:val="22"/>
          </w:rPr>
          <w:t>TFS</w:t>
        </w:r>
      </w:smartTag>
      <w:r w:rsidR="00BA76E8" w:rsidRPr="008047D6">
        <w:rPr>
          <w:rFonts w:ascii="Arial" w:hAnsi="Arial" w:cs="Arial"/>
          <w:sz w:val="22"/>
          <w:szCs w:val="22"/>
        </w:rPr>
        <w:t xml:space="preserve"> is the operational arm of the </w:t>
      </w:r>
      <w:r w:rsidR="00CD6DBD" w:rsidRPr="008047D6">
        <w:rPr>
          <w:rFonts w:ascii="Arial" w:hAnsi="Arial" w:cs="Arial"/>
          <w:sz w:val="22"/>
          <w:szCs w:val="22"/>
        </w:rPr>
        <w:t>Commission, delivering services to the community through career and volunteer brigades and Community Fire Safety.</w:t>
      </w:r>
      <w:r w:rsidRPr="008047D6">
        <w:rPr>
          <w:rFonts w:ascii="Arial" w:hAnsi="Arial" w:cs="Arial"/>
          <w:sz w:val="22"/>
          <w:szCs w:val="22"/>
        </w:rPr>
        <w:t xml:space="preserve"> </w:t>
      </w:r>
    </w:p>
    <w:p w:rsidR="009E07BA" w:rsidRPr="008047D6" w:rsidRDefault="009E07BA" w:rsidP="00400EB9">
      <w:pPr>
        <w:spacing w:after="120"/>
        <w:jc w:val="both"/>
        <w:rPr>
          <w:rFonts w:ascii="Arial" w:hAnsi="Arial" w:cs="Arial"/>
          <w:sz w:val="22"/>
          <w:szCs w:val="22"/>
        </w:rPr>
      </w:pPr>
      <w:r w:rsidRPr="008047D6">
        <w:rPr>
          <w:rFonts w:ascii="Arial" w:hAnsi="Arial" w:cs="Arial"/>
          <w:sz w:val="22"/>
          <w:szCs w:val="22"/>
        </w:rPr>
        <w:t>The functions of the Commission are:</w:t>
      </w:r>
    </w:p>
    <w:p w:rsidR="009E07BA" w:rsidRPr="008047D6" w:rsidRDefault="009E07BA" w:rsidP="0083415A">
      <w:pPr>
        <w:numPr>
          <w:ilvl w:val="0"/>
          <w:numId w:val="1"/>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formulate the policy in respect of the administration and operation of the Fire Service;</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coordinate and direct the development of all fire services throughout the State;</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develop effective fire prevention and protection measures throughout the State;</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 xml:space="preserve">to develop and promulgate a State </w:t>
      </w:r>
      <w:r w:rsidR="00293375" w:rsidRPr="008047D6">
        <w:rPr>
          <w:rFonts w:ascii="Arial" w:hAnsi="Arial" w:cs="Arial"/>
          <w:sz w:val="22"/>
          <w:szCs w:val="22"/>
        </w:rPr>
        <w:t>Fire Protection Plan</w:t>
      </w:r>
      <w:r w:rsidRPr="008047D6">
        <w:rPr>
          <w:rFonts w:ascii="Arial" w:hAnsi="Arial" w:cs="Arial"/>
          <w:sz w:val="22"/>
          <w:szCs w:val="22"/>
        </w:rPr>
        <w:t>;</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standardise, as far as is practicable, fire brigade equipment throughout the State;</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establish and maintain training facilities for brigades;</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conduct such investigations into fires as it considers necessary, and to prepare reports and recommendations to the Minister arising from those investigations;</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conduct such investigations into the use of fire as it considers necessary, to instruct the public in the wise use of fire, and to disseminate information regarding fire protection measures and other related matters;</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advise the Minister on such matters relating to the administration of this Act as may be referred to it by the Minister, and on matters that, in the opinion of the Commission, should be brought to the attention of the Minister; and</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exercise such other functions vested in or imposed on it by this Act or such other functions relating to the preventing or extinguishing of fires as may be imposed on it by the Minister from time to time.</w:t>
      </w:r>
    </w:p>
    <w:p w:rsidR="002D1435" w:rsidRPr="002F439E" w:rsidRDefault="009E07BA" w:rsidP="009E07BA">
      <w:pPr>
        <w:spacing w:after="120"/>
        <w:jc w:val="both"/>
        <w:rPr>
          <w:rFonts w:ascii="Arial" w:hAnsi="Arial" w:cs="Arial"/>
          <w:sz w:val="22"/>
          <w:szCs w:val="22"/>
        </w:rPr>
      </w:pPr>
      <w:r w:rsidRPr="002F439E">
        <w:rPr>
          <w:rFonts w:ascii="Arial" w:hAnsi="Arial" w:cs="Arial"/>
          <w:b/>
          <w:sz w:val="22"/>
          <w:szCs w:val="22"/>
        </w:rPr>
        <w:t xml:space="preserve">Technological </w:t>
      </w:r>
      <w:r w:rsidR="001B3678" w:rsidRPr="002F439E">
        <w:rPr>
          <w:rFonts w:ascii="Arial" w:hAnsi="Arial" w:cs="Arial"/>
          <w:b/>
          <w:sz w:val="22"/>
          <w:szCs w:val="22"/>
        </w:rPr>
        <w:t>Environment</w:t>
      </w:r>
      <w:r w:rsidR="001B3678" w:rsidRPr="002F439E">
        <w:rPr>
          <w:rFonts w:ascii="Arial" w:hAnsi="Arial" w:cs="Arial"/>
          <w:sz w:val="22"/>
          <w:szCs w:val="22"/>
        </w:rPr>
        <w:t xml:space="preserve"> – </w:t>
      </w:r>
      <w:r w:rsidR="00481277" w:rsidRPr="002F439E">
        <w:rPr>
          <w:rFonts w:ascii="Arial" w:hAnsi="Arial" w:cs="Arial"/>
          <w:sz w:val="22"/>
          <w:szCs w:val="22"/>
        </w:rPr>
        <w:t xml:space="preserve">The </w:t>
      </w:r>
      <w:r w:rsidR="00293375" w:rsidRPr="002F439E">
        <w:rPr>
          <w:rFonts w:ascii="Arial" w:hAnsi="Arial" w:cs="Arial"/>
          <w:sz w:val="22"/>
          <w:szCs w:val="22"/>
        </w:rPr>
        <w:t xml:space="preserve">Commission </w:t>
      </w:r>
      <w:r w:rsidR="00481277" w:rsidRPr="002F439E">
        <w:rPr>
          <w:rFonts w:ascii="Arial" w:hAnsi="Arial" w:cs="Arial"/>
          <w:sz w:val="22"/>
          <w:szCs w:val="22"/>
        </w:rPr>
        <w:t>monitors t</w:t>
      </w:r>
      <w:r w:rsidR="00661711" w:rsidRPr="002F439E">
        <w:rPr>
          <w:rFonts w:ascii="Arial" w:hAnsi="Arial" w:cs="Arial"/>
          <w:sz w:val="22"/>
          <w:szCs w:val="22"/>
        </w:rPr>
        <w:t>echnological advances in areas such as communications, vehicles, information technology, buildings and training</w:t>
      </w:r>
      <w:r w:rsidR="00481277" w:rsidRPr="002F439E">
        <w:rPr>
          <w:rFonts w:ascii="Arial" w:hAnsi="Arial" w:cs="Arial"/>
          <w:sz w:val="22"/>
          <w:szCs w:val="22"/>
        </w:rPr>
        <w:t xml:space="preserve"> </w:t>
      </w:r>
      <w:r w:rsidR="004467E9" w:rsidRPr="002F439E">
        <w:rPr>
          <w:rFonts w:ascii="Arial" w:hAnsi="Arial" w:cs="Arial"/>
          <w:sz w:val="22"/>
          <w:szCs w:val="22"/>
        </w:rPr>
        <w:t xml:space="preserve">systems </w:t>
      </w:r>
      <w:r w:rsidR="00481277" w:rsidRPr="002F439E">
        <w:rPr>
          <w:rFonts w:ascii="Arial" w:hAnsi="Arial" w:cs="Arial"/>
          <w:sz w:val="22"/>
          <w:szCs w:val="22"/>
        </w:rPr>
        <w:t xml:space="preserve">and </w:t>
      </w:r>
      <w:r w:rsidR="002F439E">
        <w:rPr>
          <w:rFonts w:ascii="Arial" w:hAnsi="Arial" w:cs="Arial"/>
          <w:sz w:val="22"/>
          <w:szCs w:val="22"/>
        </w:rPr>
        <w:t>adopts</w:t>
      </w:r>
      <w:r w:rsidR="002F439E" w:rsidRPr="002F439E">
        <w:rPr>
          <w:rFonts w:ascii="Arial" w:hAnsi="Arial" w:cs="Arial"/>
          <w:sz w:val="22"/>
          <w:szCs w:val="22"/>
        </w:rPr>
        <w:t xml:space="preserve"> </w:t>
      </w:r>
      <w:r w:rsidR="00481277" w:rsidRPr="002F439E">
        <w:rPr>
          <w:rFonts w:ascii="Arial" w:hAnsi="Arial" w:cs="Arial"/>
          <w:sz w:val="22"/>
          <w:szCs w:val="22"/>
        </w:rPr>
        <w:t xml:space="preserve">new technologies that </w:t>
      </w:r>
      <w:r w:rsidR="004467E9" w:rsidRPr="002F439E">
        <w:rPr>
          <w:rFonts w:ascii="Arial" w:hAnsi="Arial" w:cs="Arial"/>
          <w:sz w:val="22"/>
          <w:szCs w:val="22"/>
        </w:rPr>
        <w:t>add value to its services.</w:t>
      </w:r>
    </w:p>
    <w:p w:rsidR="001B3678" w:rsidRPr="002F439E" w:rsidRDefault="001B3678" w:rsidP="009E07BA">
      <w:pPr>
        <w:spacing w:after="120"/>
        <w:jc w:val="both"/>
        <w:rPr>
          <w:rFonts w:ascii="Arial" w:hAnsi="Arial" w:cs="Arial"/>
          <w:sz w:val="22"/>
          <w:szCs w:val="22"/>
        </w:rPr>
      </w:pPr>
      <w:r w:rsidRPr="002F439E">
        <w:rPr>
          <w:rFonts w:ascii="Arial" w:hAnsi="Arial" w:cs="Arial"/>
          <w:b/>
          <w:sz w:val="22"/>
          <w:szCs w:val="22"/>
        </w:rPr>
        <w:t>Social Environment</w:t>
      </w:r>
      <w:r w:rsidRPr="002F439E">
        <w:rPr>
          <w:rFonts w:ascii="Arial" w:hAnsi="Arial" w:cs="Arial"/>
          <w:sz w:val="22"/>
          <w:szCs w:val="22"/>
        </w:rPr>
        <w:t xml:space="preserve"> – </w:t>
      </w:r>
      <w:r w:rsidR="005137C6" w:rsidRPr="002F439E">
        <w:rPr>
          <w:rFonts w:ascii="Arial" w:hAnsi="Arial" w:cs="Arial"/>
          <w:sz w:val="22"/>
          <w:szCs w:val="22"/>
        </w:rPr>
        <w:t xml:space="preserve">The </w:t>
      </w:r>
      <w:r w:rsidR="00293375" w:rsidRPr="002F439E">
        <w:rPr>
          <w:rFonts w:ascii="Arial" w:hAnsi="Arial" w:cs="Arial"/>
          <w:sz w:val="22"/>
          <w:szCs w:val="22"/>
        </w:rPr>
        <w:t xml:space="preserve">Commission </w:t>
      </w:r>
      <w:r w:rsidR="00621668" w:rsidRPr="002F439E">
        <w:rPr>
          <w:rFonts w:ascii="Arial" w:hAnsi="Arial" w:cs="Arial"/>
          <w:sz w:val="22"/>
          <w:szCs w:val="22"/>
        </w:rPr>
        <w:t xml:space="preserve">contributes significantly to communities through the transfer of knowledge from local brigades into the community </w:t>
      </w:r>
      <w:r w:rsidR="00A976B2" w:rsidRPr="002F439E">
        <w:rPr>
          <w:rFonts w:ascii="Arial" w:hAnsi="Arial" w:cs="Arial"/>
          <w:sz w:val="22"/>
          <w:szCs w:val="22"/>
        </w:rPr>
        <w:t xml:space="preserve">and </w:t>
      </w:r>
      <w:r w:rsidR="00B6519A" w:rsidRPr="002F439E">
        <w:rPr>
          <w:rFonts w:ascii="Arial" w:hAnsi="Arial" w:cs="Arial"/>
          <w:sz w:val="22"/>
          <w:szCs w:val="22"/>
        </w:rPr>
        <w:t xml:space="preserve">via </w:t>
      </w:r>
      <w:r w:rsidR="005137C6" w:rsidRPr="002F439E">
        <w:rPr>
          <w:rFonts w:ascii="Arial" w:hAnsi="Arial" w:cs="Arial"/>
          <w:sz w:val="22"/>
          <w:szCs w:val="22"/>
        </w:rPr>
        <w:t xml:space="preserve">wide representation </w:t>
      </w:r>
      <w:r w:rsidR="005137C6" w:rsidRPr="009250BB">
        <w:rPr>
          <w:rFonts w:ascii="Arial" w:hAnsi="Arial" w:cs="Arial"/>
          <w:sz w:val="22"/>
          <w:szCs w:val="22"/>
        </w:rPr>
        <w:t xml:space="preserve">through </w:t>
      </w:r>
      <w:r w:rsidR="00BF48C4" w:rsidRPr="00BF48C4">
        <w:rPr>
          <w:rFonts w:ascii="Arial" w:hAnsi="Arial" w:cs="Arial"/>
          <w:sz w:val="22"/>
          <w:szCs w:val="22"/>
        </w:rPr>
        <w:t>2</w:t>
      </w:r>
      <w:r w:rsidR="00264680">
        <w:rPr>
          <w:rFonts w:ascii="Arial" w:hAnsi="Arial" w:cs="Arial"/>
          <w:sz w:val="22"/>
          <w:szCs w:val="22"/>
        </w:rPr>
        <w:t>33</w:t>
      </w:r>
      <w:r w:rsidR="005137C6" w:rsidRPr="002F439E">
        <w:rPr>
          <w:rFonts w:ascii="Arial" w:hAnsi="Arial" w:cs="Arial"/>
          <w:sz w:val="22"/>
          <w:szCs w:val="22"/>
        </w:rPr>
        <w:t xml:space="preserve"> </w:t>
      </w:r>
      <w:r w:rsidR="002F439E">
        <w:rPr>
          <w:rFonts w:ascii="Arial" w:hAnsi="Arial" w:cs="Arial"/>
          <w:sz w:val="22"/>
          <w:szCs w:val="22"/>
        </w:rPr>
        <w:t xml:space="preserve">volunteer </w:t>
      </w:r>
      <w:r w:rsidR="005137C6" w:rsidRPr="002F439E">
        <w:rPr>
          <w:rFonts w:ascii="Arial" w:hAnsi="Arial" w:cs="Arial"/>
          <w:sz w:val="22"/>
          <w:szCs w:val="22"/>
        </w:rPr>
        <w:t>brig</w:t>
      </w:r>
      <w:r w:rsidR="00784C04" w:rsidRPr="002F439E">
        <w:rPr>
          <w:rFonts w:ascii="Arial" w:hAnsi="Arial" w:cs="Arial"/>
          <w:sz w:val="22"/>
          <w:szCs w:val="22"/>
        </w:rPr>
        <w:t>a</w:t>
      </w:r>
      <w:r w:rsidR="005137C6" w:rsidRPr="002F439E">
        <w:rPr>
          <w:rFonts w:ascii="Arial" w:hAnsi="Arial" w:cs="Arial"/>
          <w:sz w:val="22"/>
          <w:szCs w:val="22"/>
        </w:rPr>
        <w:t>des across the State</w:t>
      </w:r>
      <w:r w:rsidR="002F439E">
        <w:rPr>
          <w:rFonts w:ascii="Arial" w:hAnsi="Arial" w:cs="Arial"/>
          <w:sz w:val="22"/>
          <w:szCs w:val="22"/>
        </w:rPr>
        <w:t>, contributing significant social capital of rural communities</w:t>
      </w:r>
      <w:r w:rsidR="005137C6" w:rsidRPr="002F439E">
        <w:rPr>
          <w:rFonts w:ascii="Arial" w:hAnsi="Arial" w:cs="Arial"/>
          <w:sz w:val="22"/>
          <w:szCs w:val="22"/>
        </w:rPr>
        <w:t xml:space="preserve">. Interaction with the community also occurs through community access to </w:t>
      </w:r>
      <w:smartTag w:uri="urn:schemas-microsoft-com:office:smarttags" w:element="stockticker">
        <w:r w:rsidR="005137C6" w:rsidRPr="002F439E">
          <w:rPr>
            <w:rFonts w:ascii="Arial" w:hAnsi="Arial" w:cs="Arial"/>
            <w:sz w:val="22"/>
            <w:szCs w:val="22"/>
          </w:rPr>
          <w:t>TFS</w:t>
        </w:r>
      </w:smartTag>
      <w:r w:rsidR="005137C6" w:rsidRPr="002F439E">
        <w:rPr>
          <w:rFonts w:ascii="Arial" w:hAnsi="Arial" w:cs="Arial"/>
          <w:sz w:val="22"/>
          <w:szCs w:val="22"/>
        </w:rPr>
        <w:t xml:space="preserve"> facilities and services</w:t>
      </w:r>
      <w:r w:rsidR="00B6519A" w:rsidRPr="002F439E">
        <w:rPr>
          <w:rFonts w:ascii="Arial" w:hAnsi="Arial" w:cs="Arial"/>
          <w:sz w:val="22"/>
          <w:szCs w:val="22"/>
        </w:rPr>
        <w:t>.</w:t>
      </w:r>
      <w:r w:rsidR="002D1435" w:rsidRPr="002F439E">
        <w:rPr>
          <w:rFonts w:ascii="Arial" w:hAnsi="Arial" w:cs="Arial"/>
          <w:sz w:val="22"/>
          <w:szCs w:val="22"/>
        </w:rPr>
        <w:t xml:space="preserve"> Tasmanian</w:t>
      </w:r>
      <w:r w:rsidR="005137C6" w:rsidRPr="002F439E">
        <w:rPr>
          <w:rFonts w:ascii="Arial" w:hAnsi="Arial" w:cs="Arial"/>
          <w:sz w:val="22"/>
          <w:szCs w:val="22"/>
        </w:rPr>
        <w:t xml:space="preserve"> communities have input into local fire management through local government representatives on Fire Management Area Committees.</w:t>
      </w:r>
      <w:r w:rsidR="002F439E">
        <w:rPr>
          <w:rFonts w:ascii="Arial" w:hAnsi="Arial" w:cs="Arial"/>
          <w:sz w:val="22"/>
          <w:szCs w:val="22"/>
        </w:rPr>
        <w:t xml:space="preserve"> </w:t>
      </w:r>
      <w:smartTag w:uri="urn:schemas-microsoft-com:office:smarttags" w:element="stockticker">
        <w:r w:rsidR="002F439E">
          <w:rPr>
            <w:rFonts w:ascii="Arial" w:hAnsi="Arial" w:cs="Arial"/>
            <w:sz w:val="22"/>
            <w:szCs w:val="22"/>
          </w:rPr>
          <w:t>TFS</w:t>
        </w:r>
      </w:smartTag>
      <w:r w:rsidR="002F439E">
        <w:rPr>
          <w:rFonts w:ascii="Arial" w:hAnsi="Arial" w:cs="Arial"/>
          <w:sz w:val="22"/>
          <w:szCs w:val="22"/>
        </w:rPr>
        <w:t xml:space="preserve"> contributes and responds to leading social research into human behaviour in bushfires and volunteerism.</w:t>
      </w:r>
    </w:p>
    <w:p w:rsidR="001B3678" w:rsidRPr="002F439E" w:rsidRDefault="001B3678" w:rsidP="005F2896">
      <w:pPr>
        <w:spacing w:after="120"/>
        <w:jc w:val="both"/>
        <w:rPr>
          <w:rFonts w:ascii="Arial" w:hAnsi="Arial" w:cs="Arial"/>
          <w:sz w:val="22"/>
          <w:szCs w:val="22"/>
        </w:rPr>
      </w:pPr>
      <w:r w:rsidRPr="002F439E">
        <w:rPr>
          <w:rFonts w:ascii="Arial" w:hAnsi="Arial" w:cs="Arial"/>
          <w:b/>
          <w:sz w:val="22"/>
          <w:szCs w:val="22"/>
        </w:rPr>
        <w:t>Environmental Setting</w:t>
      </w:r>
      <w:r w:rsidRPr="002F439E">
        <w:rPr>
          <w:rFonts w:ascii="Arial" w:hAnsi="Arial" w:cs="Arial"/>
          <w:sz w:val="22"/>
          <w:szCs w:val="22"/>
        </w:rPr>
        <w:t xml:space="preserve"> – </w:t>
      </w:r>
      <w:r w:rsidR="007564F5" w:rsidRPr="002F439E">
        <w:rPr>
          <w:rFonts w:ascii="Arial" w:hAnsi="Arial" w:cs="Arial"/>
          <w:sz w:val="22"/>
          <w:szCs w:val="22"/>
        </w:rPr>
        <w:t xml:space="preserve">Community interest and concern for their environment has led the </w:t>
      </w:r>
      <w:r w:rsidR="00293375" w:rsidRPr="002F439E">
        <w:rPr>
          <w:rFonts w:ascii="Arial" w:hAnsi="Arial" w:cs="Arial"/>
          <w:sz w:val="22"/>
          <w:szCs w:val="22"/>
        </w:rPr>
        <w:t xml:space="preserve">Commission </w:t>
      </w:r>
      <w:r w:rsidR="007564F5" w:rsidRPr="002F439E">
        <w:rPr>
          <w:rFonts w:ascii="Arial" w:hAnsi="Arial" w:cs="Arial"/>
          <w:sz w:val="22"/>
          <w:szCs w:val="22"/>
        </w:rPr>
        <w:t>to become involved in a variety of projects and forums aimed at minimising damage to the environment. These include providing advice on smoke management and air quality, assisting in planning for construction in bushfire prone a</w:t>
      </w:r>
      <w:r w:rsidR="00AB1622" w:rsidRPr="002F439E">
        <w:rPr>
          <w:rFonts w:ascii="Arial" w:hAnsi="Arial" w:cs="Arial"/>
          <w:sz w:val="22"/>
          <w:szCs w:val="22"/>
        </w:rPr>
        <w:t>reas as well as</w:t>
      </w:r>
      <w:r w:rsidR="007564F5" w:rsidRPr="002F439E">
        <w:rPr>
          <w:rFonts w:ascii="Arial" w:hAnsi="Arial" w:cs="Arial"/>
          <w:sz w:val="22"/>
          <w:szCs w:val="22"/>
        </w:rPr>
        <w:t xml:space="preserve"> adapting </w:t>
      </w:r>
      <w:smartTag w:uri="urn:schemas-microsoft-com:office:smarttags" w:element="stockticker">
        <w:r w:rsidR="007564F5" w:rsidRPr="002F439E">
          <w:rPr>
            <w:rFonts w:ascii="Arial" w:hAnsi="Arial" w:cs="Arial"/>
            <w:sz w:val="22"/>
            <w:szCs w:val="22"/>
          </w:rPr>
          <w:t>TFS</w:t>
        </w:r>
      </w:smartTag>
      <w:r w:rsidR="007564F5" w:rsidRPr="002F439E">
        <w:rPr>
          <w:rFonts w:ascii="Arial" w:hAnsi="Arial" w:cs="Arial"/>
          <w:sz w:val="22"/>
          <w:szCs w:val="22"/>
        </w:rPr>
        <w:t xml:space="preserve"> practices to </w:t>
      </w:r>
      <w:r w:rsidR="002F439E">
        <w:rPr>
          <w:rFonts w:ascii="Arial" w:hAnsi="Arial" w:cs="Arial"/>
          <w:sz w:val="22"/>
          <w:szCs w:val="22"/>
        </w:rPr>
        <w:t>reduce our environmental footprint</w:t>
      </w:r>
      <w:r w:rsidR="00AB1622" w:rsidRPr="002F439E">
        <w:rPr>
          <w:rFonts w:ascii="Arial" w:hAnsi="Arial" w:cs="Arial"/>
          <w:sz w:val="22"/>
          <w:szCs w:val="22"/>
        </w:rPr>
        <w:t>.</w:t>
      </w:r>
    </w:p>
    <w:p w:rsidR="00F2340F" w:rsidRPr="002F439E" w:rsidRDefault="00F2340F" w:rsidP="005F2896">
      <w:pPr>
        <w:spacing w:after="120"/>
        <w:jc w:val="both"/>
        <w:rPr>
          <w:rFonts w:ascii="Arial" w:hAnsi="Arial" w:cs="Arial"/>
          <w:sz w:val="22"/>
          <w:szCs w:val="22"/>
        </w:rPr>
      </w:pPr>
      <w:r w:rsidRPr="002F439E">
        <w:rPr>
          <w:rFonts w:ascii="Arial" w:hAnsi="Arial" w:cs="Arial"/>
          <w:b/>
          <w:sz w:val="22"/>
          <w:szCs w:val="22"/>
        </w:rPr>
        <w:t>Economic Environment</w:t>
      </w:r>
      <w:r w:rsidR="007A19EF" w:rsidRPr="002F439E">
        <w:rPr>
          <w:rFonts w:ascii="Arial" w:hAnsi="Arial" w:cs="Arial"/>
          <w:sz w:val="22"/>
          <w:szCs w:val="22"/>
        </w:rPr>
        <w:t xml:space="preserve"> – </w:t>
      </w:r>
      <w:r w:rsidRPr="002F439E">
        <w:rPr>
          <w:rFonts w:ascii="Arial" w:hAnsi="Arial" w:cs="Arial"/>
          <w:sz w:val="22"/>
          <w:szCs w:val="22"/>
        </w:rPr>
        <w:t xml:space="preserve">The </w:t>
      </w:r>
      <w:r w:rsidR="00293375" w:rsidRPr="002F439E">
        <w:rPr>
          <w:rFonts w:ascii="Arial" w:hAnsi="Arial" w:cs="Arial"/>
          <w:sz w:val="22"/>
          <w:szCs w:val="22"/>
        </w:rPr>
        <w:t xml:space="preserve">Commission </w:t>
      </w:r>
      <w:r w:rsidRPr="002F439E">
        <w:rPr>
          <w:rFonts w:ascii="Arial" w:hAnsi="Arial" w:cs="Arial"/>
          <w:sz w:val="22"/>
          <w:szCs w:val="22"/>
        </w:rPr>
        <w:t xml:space="preserve">is acutely aware of the </w:t>
      </w:r>
      <w:r w:rsidR="002F439E">
        <w:rPr>
          <w:rFonts w:ascii="Arial" w:hAnsi="Arial" w:cs="Arial"/>
          <w:sz w:val="22"/>
          <w:szCs w:val="22"/>
        </w:rPr>
        <w:t xml:space="preserve">current </w:t>
      </w:r>
      <w:r w:rsidRPr="002F439E">
        <w:rPr>
          <w:rFonts w:ascii="Arial" w:hAnsi="Arial" w:cs="Arial"/>
          <w:sz w:val="22"/>
          <w:szCs w:val="22"/>
        </w:rPr>
        <w:t xml:space="preserve">economic environment </w:t>
      </w:r>
      <w:r w:rsidR="002F439E">
        <w:rPr>
          <w:rFonts w:ascii="Arial" w:hAnsi="Arial" w:cs="Arial"/>
          <w:sz w:val="22"/>
          <w:szCs w:val="22"/>
        </w:rPr>
        <w:t xml:space="preserve">and its potential impact of delivery of </w:t>
      </w:r>
      <w:smartTag w:uri="urn:schemas-microsoft-com:office:smarttags" w:element="stockticker">
        <w:r w:rsidR="00F75A15">
          <w:rPr>
            <w:rFonts w:ascii="Arial" w:hAnsi="Arial" w:cs="Arial"/>
            <w:sz w:val="22"/>
            <w:szCs w:val="22"/>
          </w:rPr>
          <w:t>TFS</w:t>
        </w:r>
      </w:smartTag>
      <w:r w:rsidR="002F439E">
        <w:rPr>
          <w:rFonts w:ascii="Arial" w:hAnsi="Arial" w:cs="Arial"/>
          <w:sz w:val="22"/>
          <w:szCs w:val="22"/>
        </w:rPr>
        <w:t xml:space="preserve"> services. The </w:t>
      </w:r>
      <w:r w:rsidR="001E1733">
        <w:rPr>
          <w:rFonts w:ascii="Arial" w:hAnsi="Arial" w:cs="Arial"/>
          <w:sz w:val="22"/>
          <w:szCs w:val="22"/>
        </w:rPr>
        <w:t>Commission</w:t>
      </w:r>
      <w:r w:rsidR="002F439E">
        <w:rPr>
          <w:rFonts w:ascii="Arial" w:hAnsi="Arial" w:cs="Arial"/>
          <w:sz w:val="22"/>
          <w:szCs w:val="22"/>
        </w:rPr>
        <w:t xml:space="preserve"> continues to follow </w:t>
      </w:r>
      <w:r w:rsidRPr="002F439E">
        <w:rPr>
          <w:rFonts w:ascii="Arial" w:hAnsi="Arial" w:cs="Arial"/>
          <w:sz w:val="22"/>
          <w:szCs w:val="22"/>
        </w:rPr>
        <w:t xml:space="preserve">a conservative and prudent approach to financial management. In setting its budget objectives the </w:t>
      </w:r>
      <w:r w:rsidR="00293375" w:rsidRPr="002F439E">
        <w:rPr>
          <w:rFonts w:ascii="Arial" w:hAnsi="Arial" w:cs="Arial"/>
          <w:sz w:val="22"/>
          <w:szCs w:val="22"/>
        </w:rPr>
        <w:t xml:space="preserve">Commission </w:t>
      </w:r>
      <w:r w:rsidRPr="002F439E">
        <w:rPr>
          <w:rFonts w:ascii="Arial" w:hAnsi="Arial" w:cs="Arial"/>
          <w:sz w:val="22"/>
          <w:szCs w:val="22"/>
        </w:rPr>
        <w:t xml:space="preserve">has been cognisant of the performance and projections </w:t>
      </w:r>
      <w:r w:rsidR="002D1435" w:rsidRPr="002F439E">
        <w:rPr>
          <w:rFonts w:ascii="Arial" w:hAnsi="Arial" w:cs="Arial"/>
          <w:sz w:val="22"/>
          <w:szCs w:val="22"/>
        </w:rPr>
        <w:t>for</w:t>
      </w:r>
      <w:r w:rsidRPr="002F439E">
        <w:rPr>
          <w:rFonts w:ascii="Arial" w:hAnsi="Arial" w:cs="Arial"/>
          <w:sz w:val="22"/>
          <w:szCs w:val="22"/>
        </w:rPr>
        <w:t xml:space="preserve"> the Tasmania</w:t>
      </w:r>
      <w:r w:rsidR="00C43688" w:rsidRPr="002F439E">
        <w:rPr>
          <w:rFonts w:ascii="Arial" w:hAnsi="Arial" w:cs="Arial"/>
          <w:sz w:val="22"/>
          <w:szCs w:val="22"/>
        </w:rPr>
        <w:t>n</w:t>
      </w:r>
      <w:r w:rsidRPr="002F439E">
        <w:rPr>
          <w:rFonts w:ascii="Arial" w:hAnsi="Arial" w:cs="Arial"/>
          <w:sz w:val="22"/>
          <w:szCs w:val="22"/>
        </w:rPr>
        <w:t xml:space="preserve"> economy and has tailored its investment and debt reduction program accordingly.</w:t>
      </w:r>
    </w:p>
    <w:p w:rsidR="00AB1622" w:rsidRPr="00F75A15" w:rsidRDefault="001B3678" w:rsidP="0002346D">
      <w:pPr>
        <w:spacing w:after="120"/>
        <w:jc w:val="both"/>
        <w:rPr>
          <w:rFonts w:ascii="Arial" w:hAnsi="Arial" w:cs="Arial"/>
          <w:sz w:val="22"/>
          <w:szCs w:val="22"/>
        </w:rPr>
      </w:pPr>
      <w:r w:rsidRPr="00F75A15">
        <w:rPr>
          <w:rFonts w:ascii="Arial" w:hAnsi="Arial" w:cs="Arial"/>
          <w:b/>
          <w:sz w:val="22"/>
          <w:szCs w:val="22"/>
        </w:rPr>
        <w:t>Political Environment</w:t>
      </w:r>
      <w:r w:rsidRPr="00F75A15">
        <w:rPr>
          <w:rFonts w:ascii="Arial" w:hAnsi="Arial" w:cs="Arial"/>
          <w:sz w:val="22"/>
          <w:szCs w:val="22"/>
        </w:rPr>
        <w:t xml:space="preserve"> – The </w:t>
      </w:r>
      <w:r w:rsidR="00293375" w:rsidRPr="00F75A15">
        <w:rPr>
          <w:rFonts w:ascii="Arial" w:hAnsi="Arial" w:cs="Arial"/>
          <w:sz w:val="22"/>
          <w:szCs w:val="22"/>
        </w:rPr>
        <w:t xml:space="preserve">Commission </w:t>
      </w:r>
      <w:r w:rsidRPr="00F75A15">
        <w:rPr>
          <w:rFonts w:ascii="Arial" w:hAnsi="Arial" w:cs="Arial"/>
          <w:sz w:val="22"/>
          <w:szCs w:val="22"/>
        </w:rPr>
        <w:t xml:space="preserve">is made up of representatives from major stakeholder groups including local government, union and volunteer associations. A number of committees within </w:t>
      </w:r>
      <w:smartTag w:uri="urn:schemas-microsoft-com:office:smarttags" w:element="stockticker">
        <w:r w:rsidRPr="00F75A15">
          <w:rPr>
            <w:rFonts w:ascii="Arial" w:hAnsi="Arial" w:cs="Arial"/>
            <w:sz w:val="22"/>
            <w:szCs w:val="22"/>
          </w:rPr>
          <w:t>TFS</w:t>
        </w:r>
      </w:smartTag>
      <w:r w:rsidRPr="00F75A15">
        <w:rPr>
          <w:rFonts w:ascii="Arial" w:hAnsi="Arial" w:cs="Arial"/>
          <w:sz w:val="22"/>
          <w:szCs w:val="22"/>
        </w:rPr>
        <w:t xml:space="preserve"> give further opportunities for involvement </w:t>
      </w:r>
      <w:r w:rsidR="00661711" w:rsidRPr="00F75A15">
        <w:rPr>
          <w:rFonts w:ascii="Arial" w:hAnsi="Arial" w:cs="Arial"/>
          <w:sz w:val="22"/>
          <w:szCs w:val="22"/>
        </w:rPr>
        <w:t xml:space="preserve">by stakeholders </w:t>
      </w:r>
      <w:r w:rsidRPr="00F75A15">
        <w:rPr>
          <w:rFonts w:ascii="Arial" w:hAnsi="Arial" w:cs="Arial"/>
          <w:sz w:val="22"/>
          <w:szCs w:val="22"/>
        </w:rPr>
        <w:t xml:space="preserve">including participation </w:t>
      </w:r>
      <w:r w:rsidR="002F6D49" w:rsidRPr="00F75A15">
        <w:rPr>
          <w:rFonts w:ascii="Arial" w:hAnsi="Arial" w:cs="Arial"/>
          <w:sz w:val="22"/>
          <w:szCs w:val="22"/>
        </w:rPr>
        <w:t xml:space="preserve">from </w:t>
      </w:r>
      <w:r w:rsidRPr="00F75A15">
        <w:rPr>
          <w:rFonts w:ascii="Arial" w:hAnsi="Arial" w:cs="Arial"/>
          <w:sz w:val="22"/>
          <w:szCs w:val="22"/>
        </w:rPr>
        <w:t>the Parks and Wildlife Service, Forestry Tasmania</w:t>
      </w:r>
      <w:r w:rsidR="003D53A9">
        <w:rPr>
          <w:rFonts w:ascii="Arial" w:hAnsi="Arial" w:cs="Arial"/>
          <w:sz w:val="22"/>
          <w:szCs w:val="22"/>
        </w:rPr>
        <w:t>,</w:t>
      </w:r>
      <w:r w:rsidRPr="00F75A15">
        <w:rPr>
          <w:rFonts w:ascii="Arial" w:hAnsi="Arial" w:cs="Arial"/>
          <w:sz w:val="22"/>
          <w:szCs w:val="22"/>
        </w:rPr>
        <w:t xml:space="preserve"> Tasmanian Farmers and Graziers </w:t>
      </w:r>
      <w:r w:rsidR="00D37654" w:rsidRPr="00F75A15">
        <w:rPr>
          <w:rFonts w:ascii="Arial" w:hAnsi="Arial" w:cs="Arial"/>
          <w:sz w:val="22"/>
          <w:szCs w:val="22"/>
        </w:rPr>
        <w:t>Association</w:t>
      </w:r>
      <w:r w:rsidR="00D37654">
        <w:rPr>
          <w:rFonts w:ascii="Arial" w:hAnsi="Arial" w:cs="Arial"/>
          <w:sz w:val="22"/>
          <w:szCs w:val="22"/>
        </w:rPr>
        <w:t>, Ambulance</w:t>
      </w:r>
      <w:r w:rsidR="003D53A9">
        <w:rPr>
          <w:rFonts w:ascii="Arial" w:hAnsi="Arial" w:cs="Arial"/>
          <w:sz w:val="22"/>
          <w:szCs w:val="22"/>
        </w:rPr>
        <w:t xml:space="preserve"> Tasmania, Tasmania Police, Local </w:t>
      </w:r>
      <w:r w:rsidR="00D37654">
        <w:rPr>
          <w:rFonts w:ascii="Arial" w:hAnsi="Arial" w:cs="Arial"/>
          <w:sz w:val="22"/>
          <w:szCs w:val="22"/>
        </w:rPr>
        <w:t>Government</w:t>
      </w:r>
      <w:r w:rsidR="003D53A9">
        <w:rPr>
          <w:rFonts w:ascii="Arial" w:hAnsi="Arial" w:cs="Arial"/>
          <w:sz w:val="22"/>
          <w:szCs w:val="22"/>
        </w:rPr>
        <w:t xml:space="preserve"> Association of Tasmania</w:t>
      </w:r>
      <w:r w:rsidR="003D53A9" w:rsidRPr="00F75A15">
        <w:rPr>
          <w:rFonts w:ascii="Arial" w:hAnsi="Arial" w:cs="Arial"/>
          <w:sz w:val="22"/>
          <w:szCs w:val="22"/>
        </w:rPr>
        <w:t xml:space="preserve"> and </w:t>
      </w:r>
      <w:r w:rsidR="003D53A9">
        <w:rPr>
          <w:rFonts w:ascii="Arial" w:hAnsi="Arial" w:cs="Arial"/>
          <w:sz w:val="22"/>
          <w:szCs w:val="22"/>
        </w:rPr>
        <w:t>State Emergency Service</w:t>
      </w:r>
      <w:r w:rsidRPr="00F75A15">
        <w:rPr>
          <w:rFonts w:ascii="Arial" w:hAnsi="Arial" w:cs="Arial"/>
          <w:sz w:val="22"/>
          <w:szCs w:val="22"/>
        </w:rPr>
        <w:t>.</w:t>
      </w:r>
      <w:bookmarkStart w:id="13" w:name="_Toc477750216"/>
      <w:bookmarkStart w:id="14" w:name="_Toc509828790"/>
    </w:p>
    <w:p w:rsidR="005360D3" w:rsidRDefault="005360D3" w:rsidP="006160FE">
      <w:pPr>
        <w:spacing w:after="100" w:afterAutospacing="1"/>
        <w:jc w:val="both"/>
        <w:rPr>
          <w:rFonts w:ascii="Arial" w:hAnsi="Arial" w:cs="Arial"/>
          <w:sz w:val="22"/>
          <w:szCs w:val="22"/>
        </w:rPr>
      </w:pPr>
      <w:r w:rsidRPr="00F75A15">
        <w:rPr>
          <w:rFonts w:ascii="Arial" w:hAnsi="Arial" w:cs="Arial"/>
          <w:b/>
          <w:sz w:val="22"/>
          <w:szCs w:val="22"/>
        </w:rPr>
        <w:t>Emergency Response Environment</w:t>
      </w:r>
      <w:r w:rsidRPr="00F75A15">
        <w:rPr>
          <w:rFonts w:ascii="Arial" w:hAnsi="Arial" w:cs="Arial"/>
          <w:sz w:val="22"/>
          <w:szCs w:val="22"/>
        </w:rPr>
        <w:t xml:space="preserve"> – As part of the </w:t>
      </w:r>
      <w:r w:rsidR="001E1733">
        <w:rPr>
          <w:rFonts w:ascii="Arial" w:hAnsi="Arial" w:cs="Arial"/>
          <w:sz w:val="22"/>
          <w:szCs w:val="22"/>
        </w:rPr>
        <w:t>Commission’s</w:t>
      </w:r>
      <w:r w:rsidR="00F75A15" w:rsidRPr="00F75A15">
        <w:rPr>
          <w:rFonts w:ascii="Arial" w:hAnsi="Arial" w:cs="Arial"/>
          <w:sz w:val="22"/>
          <w:szCs w:val="22"/>
        </w:rPr>
        <w:t xml:space="preserve"> </w:t>
      </w:r>
      <w:r w:rsidRPr="00F75A15">
        <w:rPr>
          <w:rFonts w:ascii="Arial" w:hAnsi="Arial" w:cs="Arial"/>
          <w:sz w:val="22"/>
          <w:szCs w:val="22"/>
        </w:rPr>
        <w:t>contribution to the State’s counter-terrorism capability, the</w:t>
      </w:r>
      <w:r w:rsidR="00747134" w:rsidRPr="00F75A15">
        <w:rPr>
          <w:rFonts w:ascii="Arial" w:hAnsi="Arial" w:cs="Arial"/>
          <w:sz w:val="22"/>
          <w:szCs w:val="22"/>
        </w:rPr>
        <w:t xml:space="preserve"> </w:t>
      </w:r>
      <w:r w:rsidR="001E1733">
        <w:rPr>
          <w:rFonts w:ascii="Arial" w:hAnsi="Arial" w:cs="Arial"/>
          <w:sz w:val="22"/>
          <w:szCs w:val="22"/>
        </w:rPr>
        <w:t>Commission</w:t>
      </w:r>
      <w:r w:rsidR="00F75A15" w:rsidRPr="00F75A15">
        <w:rPr>
          <w:rFonts w:ascii="Arial" w:hAnsi="Arial" w:cs="Arial"/>
          <w:sz w:val="22"/>
          <w:szCs w:val="22"/>
        </w:rPr>
        <w:t xml:space="preserve"> </w:t>
      </w:r>
      <w:r w:rsidR="00747134" w:rsidRPr="00F75A15">
        <w:rPr>
          <w:rFonts w:ascii="Arial" w:hAnsi="Arial" w:cs="Arial"/>
          <w:sz w:val="22"/>
          <w:szCs w:val="22"/>
        </w:rPr>
        <w:t xml:space="preserve">has through </w:t>
      </w:r>
      <w:smartTag w:uri="urn:schemas-microsoft-com:office:smarttags" w:element="stockticker">
        <w:r w:rsidRPr="00F75A15">
          <w:rPr>
            <w:rFonts w:ascii="Arial" w:hAnsi="Arial" w:cs="Arial"/>
            <w:sz w:val="22"/>
            <w:szCs w:val="22"/>
          </w:rPr>
          <w:t>TFS</w:t>
        </w:r>
      </w:smartTag>
      <w:r w:rsidRPr="00F75A15">
        <w:rPr>
          <w:rFonts w:ascii="Arial" w:hAnsi="Arial" w:cs="Arial"/>
          <w:sz w:val="22"/>
          <w:szCs w:val="22"/>
        </w:rPr>
        <w:t xml:space="preserve"> acquired advanced technological equipment and undertaken extensive training to ensure that its brigades can respond to terrorist initiated incidents as well as other incidents involving hazardous materials</w:t>
      </w:r>
      <w:r w:rsidR="00BF7C35" w:rsidRPr="00F75A15">
        <w:rPr>
          <w:rFonts w:ascii="Arial" w:hAnsi="Arial" w:cs="Arial"/>
          <w:sz w:val="22"/>
          <w:szCs w:val="22"/>
        </w:rPr>
        <w:t xml:space="preserve">, </w:t>
      </w:r>
      <w:r w:rsidRPr="00F75A15">
        <w:rPr>
          <w:rFonts w:ascii="Arial" w:hAnsi="Arial" w:cs="Arial"/>
          <w:sz w:val="22"/>
          <w:szCs w:val="22"/>
        </w:rPr>
        <w:t>urban search and rescue</w:t>
      </w:r>
      <w:r w:rsidR="00BF7C35" w:rsidRPr="00F75A15">
        <w:rPr>
          <w:rFonts w:ascii="Arial" w:hAnsi="Arial" w:cs="Arial"/>
          <w:sz w:val="22"/>
          <w:szCs w:val="22"/>
        </w:rPr>
        <w:t xml:space="preserve"> and road accident rescue in </w:t>
      </w:r>
      <w:r w:rsidR="00F75A15">
        <w:rPr>
          <w:rFonts w:ascii="Arial" w:hAnsi="Arial" w:cs="Arial"/>
          <w:sz w:val="22"/>
          <w:szCs w:val="22"/>
        </w:rPr>
        <w:t>assigned</w:t>
      </w:r>
      <w:r w:rsidR="00BF7C35" w:rsidRPr="00F75A15">
        <w:rPr>
          <w:rFonts w:ascii="Arial" w:hAnsi="Arial" w:cs="Arial"/>
          <w:sz w:val="22"/>
          <w:szCs w:val="22"/>
        </w:rPr>
        <w:t xml:space="preserve"> areas</w:t>
      </w:r>
      <w:r w:rsidRPr="00F75A15">
        <w:rPr>
          <w:rFonts w:ascii="Arial" w:hAnsi="Arial" w:cs="Arial"/>
          <w:sz w:val="22"/>
          <w:szCs w:val="22"/>
        </w:rPr>
        <w:t>.</w:t>
      </w:r>
    </w:p>
    <w:p w:rsidR="00F75A15" w:rsidRPr="00F75A15" w:rsidRDefault="00F75A15" w:rsidP="00D97E1B">
      <w:pPr>
        <w:spacing w:after="120"/>
        <w:jc w:val="both"/>
        <w:rPr>
          <w:rFonts w:ascii="Arial" w:hAnsi="Arial" w:cs="Arial"/>
          <w:sz w:val="22"/>
          <w:szCs w:val="22"/>
        </w:rPr>
      </w:pPr>
      <w:r>
        <w:rPr>
          <w:rFonts w:ascii="Arial" w:hAnsi="Arial" w:cs="Arial"/>
          <w:b/>
          <w:sz w:val="22"/>
          <w:szCs w:val="22"/>
        </w:rPr>
        <w:t>National</w:t>
      </w:r>
      <w:r w:rsidRPr="00F75A15">
        <w:rPr>
          <w:rFonts w:ascii="Arial" w:hAnsi="Arial" w:cs="Arial"/>
          <w:b/>
          <w:sz w:val="22"/>
          <w:szCs w:val="22"/>
        </w:rPr>
        <w:t xml:space="preserve"> Environment</w:t>
      </w:r>
      <w:r>
        <w:rPr>
          <w:rFonts w:ascii="Arial" w:hAnsi="Arial" w:cs="Arial"/>
          <w:b/>
          <w:sz w:val="22"/>
          <w:szCs w:val="22"/>
        </w:rPr>
        <w:t xml:space="preserve"> </w:t>
      </w:r>
      <w:r w:rsidRPr="00F75A15">
        <w:rPr>
          <w:rFonts w:ascii="Arial" w:hAnsi="Arial" w:cs="Arial"/>
          <w:sz w:val="22"/>
          <w:szCs w:val="22"/>
        </w:rPr>
        <w:t xml:space="preserve">– </w:t>
      </w:r>
      <w:smartTag w:uri="urn:schemas-microsoft-com:office:smarttags" w:element="stockticker">
        <w:r w:rsidRPr="00F75A15">
          <w:rPr>
            <w:rFonts w:ascii="Arial" w:hAnsi="Arial" w:cs="Arial"/>
            <w:sz w:val="22"/>
            <w:szCs w:val="22"/>
          </w:rPr>
          <w:t>TFS</w:t>
        </w:r>
      </w:smartTag>
      <w:r w:rsidRPr="00F75A15">
        <w:rPr>
          <w:rFonts w:ascii="Arial" w:hAnsi="Arial" w:cs="Arial"/>
          <w:sz w:val="22"/>
          <w:szCs w:val="22"/>
        </w:rPr>
        <w:t xml:space="preserve"> has a strong commitment to the Australasian Fire and Emergency Service Authorities Council</w:t>
      </w:r>
      <w:r>
        <w:rPr>
          <w:rFonts w:ascii="Arial" w:hAnsi="Arial" w:cs="Arial"/>
          <w:sz w:val="22"/>
          <w:szCs w:val="22"/>
        </w:rPr>
        <w:t xml:space="preserve"> (AFAC), which provides many opportunities for information sharing and the development of nationally consistent positions and collaborative arrangements</w:t>
      </w:r>
      <w:r w:rsidR="00D97E1B">
        <w:rPr>
          <w:rFonts w:ascii="Arial" w:hAnsi="Arial" w:cs="Arial"/>
          <w:sz w:val="22"/>
          <w:szCs w:val="22"/>
        </w:rPr>
        <w:t xml:space="preserve"> in operational and business areas</w:t>
      </w:r>
      <w:r>
        <w:rPr>
          <w:rFonts w:ascii="Arial" w:hAnsi="Arial" w:cs="Arial"/>
          <w:sz w:val="22"/>
          <w:szCs w:val="22"/>
        </w:rPr>
        <w:t xml:space="preserve">. </w:t>
      </w:r>
      <w:smartTag w:uri="urn:schemas-microsoft-com:office:smarttags" w:element="stockticker">
        <w:r>
          <w:rPr>
            <w:rFonts w:ascii="Arial" w:hAnsi="Arial" w:cs="Arial"/>
            <w:sz w:val="22"/>
            <w:szCs w:val="22"/>
          </w:rPr>
          <w:t>TFS</w:t>
        </w:r>
      </w:smartTag>
      <w:r>
        <w:rPr>
          <w:rFonts w:ascii="Arial" w:hAnsi="Arial" w:cs="Arial"/>
          <w:sz w:val="22"/>
          <w:szCs w:val="22"/>
        </w:rPr>
        <w:t>, as a stakeholder of the Bushfire Cooperative Research Centre, participates in and influences the national bushfire research agenda.</w:t>
      </w:r>
      <w:r w:rsidR="00D97E1B">
        <w:rPr>
          <w:rFonts w:ascii="Arial" w:hAnsi="Arial" w:cs="Arial"/>
          <w:sz w:val="22"/>
          <w:szCs w:val="22"/>
        </w:rPr>
        <w:t xml:space="preserve"> </w:t>
      </w:r>
    </w:p>
    <w:p w:rsidR="009E07BA" w:rsidRPr="00C17F66" w:rsidRDefault="009E07BA" w:rsidP="00400EB9">
      <w:pPr>
        <w:pStyle w:val="Heading1"/>
        <w:tabs>
          <w:tab w:val="left" w:pos="567"/>
        </w:tabs>
        <w:spacing w:before="360" w:after="240"/>
        <w:rPr>
          <w:rFonts w:ascii="Arial" w:hAnsi="Arial" w:cs="Arial"/>
          <w:sz w:val="22"/>
          <w:szCs w:val="22"/>
        </w:rPr>
      </w:pPr>
      <w:bookmarkStart w:id="15" w:name="_Toc288225431"/>
      <w:r w:rsidRPr="00C17F66">
        <w:rPr>
          <w:rFonts w:ascii="Arial" w:hAnsi="Arial" w:cs="Arial"/>
          <w:sz w:val="22"/>
          <w:szCs w:val="22"/>
        </w:rPr>
        <w:t>5.</w:t>
      </w:r>
      <w:r w:rsidRPr="00C17F66">
        <w:rPr>
          <w:rFonts w:ascii="Arial" w:hAnsi="Arial" w:cs="Arial"/>
          <w:sz w:val="22"/>
          <w:szCs w:val="22"/>
        </w:rPr>
        <w:tab/>
      </w:r>
      <w:smartTag w:uri="urn:schemas-microsoft-com:office:smarttags" w:element="stockticker">
        <w:r w:rsidRPr="00C17F66">
          <w:rPr>
            <w:rFonts w:ascii="Arial" w:hAnsi="Arial" w:cs="Arial"/>
            <w:sz w:val="22"/>
            <w:szCs w:val="22"/>
          </w:rPr>
          <w:t>KEY</w:t>
        </w:r>
      </w:smartTag>
      <w:r w:rsidRPr="00C17F66">
        <w:rPr>
          <w:rFonts w:ascii="Arial" w:hAnsi="Arial" w:cs="Arial"/>
          <w:sz w:val="22"/>
          <w:szCs w:val="22"/>
        </w:rPr>
        <w:t xml:space="preserve"> RISKS</w:t>
      </w:r>
      <w:bookmarkEnd w:id="13"/>
      <w:bookmarkEnd w:id="14"/>
      <w:bookmarkEnd w:id="15"/>
    </w:p>
    <w:p w:rsidR="00AB1622" w:rsidRPr="00C17F66" w:rsidRDefault="00AB1622" w:rsidP="009E07BA">
      <w:pPr>
        <w:spacing w:after="120"/>
        <w:jc w:val="both"/>
        <w:rPr>
          <w:rFonts w:ascii="Arial" w:hAnsi="Arial" w:cs="Arial"/>
          <w:sz w:val="22"/>
          <w:szCs w:val="22"/>
        </w:rPr>
      </w:pPr>
      <w:r w:rsidRPr="00C17F66">
        <w:rPr>
          <w:rFonts w:ascii="Arial" w:hAnsi="Arial" w:cs="Arial"/>
          <w:b/>
          <w:sz w:val="22"/>
          <w:szCs w:val="22"/>
        </w:rPr>
        <w:t>Workplace Health and Safety</w:t>
      </w:r>
      <w:r w:rsidRPr="00C17F66">
        <w:rPr>
          <w:rFonts w:ascii="Arial" w:hAnsi="Arial" w:cs="Arial"/>
          <w:sz w:val="22"/>
          <w:szCs w:val="22"/>
        </w:rPr>
        <w:t xml:space="preserve"> – Health and safety issues are always a paramount concern for any emergency service due to the inherently dangerous nature of </w:t>
      </w:r>
      <w:r w:rsidR="002F6D49" w:rsidRPr="00C17F66">
        <w:rPr>
          <w:rFonts w:ascii="Arial" w:hAnsi="Arial" w:cs="Arial"/>
          <w:sz w:val="22"/>
          <w:szCs w:val="22"/>
        </w:rPr>
        <w:t>emergency management</w:t>
      </w:r>
      <w:r w:rsidRPr="00C17F66">
        <w:rPr>
          <w:rFonts w:ascii="Arial" w:hAnsi="Arial" w:cs="Arial"/>
          <w:sz w:val="22"/>
          <w:szCs w:val="22"/>
        </w:rPr>
        <w:t xml:space="preserve">. This said, the </w:t>
      </w:r>
      <w:smartTag w:uri="urn:schemas-microsoft-com:office:smarttags" w:element="stockticker">
        <w:r w:rsidRPr="00C17F66">
          <w:rPr>
            <w:rFonts w:ascii="Arial" w:hAnsi="Arial" w:cs="Arial"/>
            <w:sz w:val="22"/>
            <w:szCs w:val="22"/>
          </w:rPr>
          <w:t>TFS</w:t>
        </w:r>
      </w:smartTag>
      <w:r w:rsidRPr="00C17F66">
        <w:rPr>
          <w:rFonts w:ascii="Arial" w:hAnsi="Arial" w:cs="Arial"/>
          <w:sz w:val="22"/>
          <w:szCs w:val="22"/>
        </w:rPr>
        <w:t xml:space="preserve"> spend</w:t>
      </w:r>
      <w:r w:rsidR="00A976B2" w:rsidRPr="00C17F66">
        <w:rPr>
          <w:rFonts w:ascii="Arial" w:hAnsi="Arial" w:cs="Arial"/>
          <w:sz w:val="22"/>
          <w:szCs w:val="22"/>
        </w:rPr>
        <w:t>s</w:t>
      </w:r>
      <w:r w:rsidRPr="00C17F66">
        <w:rPr>
          <w:rFonts w:ascii="Arial" w:hAnsi="Arial" w:cs="Arial"/>
          <w:sz w:val="22"/>
          <w:szCs w:val="22"/>
        </w:rPr>
        <w:t xml:space="preserve"> considerable time and effort in minimising these risks for its personnel. The development of </w:t>
      </w:r>
      <w:r w:rsidR="00003532" w:rsidRPr="00C17F66">
        <w:rPr>
          <w:rFonts w:ascii="Arial" w:hAnsi="Arial" w:cs="Arial"/>
          <w:sz w:val="22"/>
          <w:szCs w:val="22"/>
        </w:rPr>
        <w:t xml:space="preserve">ongoing </w:t>
      </w:r>
      <w:r w:rsidR="002F6D49" w:rsidRPr="00C17F66">
        <w:rPr>
          <w:rFonts w:ascii="Arial" w:hAnsi="Arial" w:cs="Arial"/>
          <w:sz w:val="22"/>
          <w:szCs w:val="22"/>
        </w:rPr>
        <w:t xml:space="preserve">safety </w:t>
      </w:r>
      <w:r w:rsidRPr="00C17F66">
        <w:rPr>
          <w:rFonts w:ascii="Arial" w:hAnsi="Arial" w:cs="Arial"/>
          <w:sz w:val="22"/>
          <w:szCs w:val="22"/>
        </w:rPr>
        <w:t xml:space="preserve">systems, investment in </w:t>
      </w:r>
      <w:r w:rsidR="00003532" w:rsidRPr="00C17F66">
        <w:rPr>
          <w:rFonts w:ascii="Arial" w:hAnsi="Arial" w:cs="Arial"/>
          <w:sz w:val="22"/>
          <w:szCs w:val="22"/>
        </w:rPr>
        <w:t>personal protecti</w:t>
      </w:r>
      <w:r w:rsidR="00EE1EAB" w:rsidRPr="00C17F66">
        <w:rPr>
          <w:rFonts w:ascii="Arial" w:hAnsi="Arial" w:cs="Arial"/>
          <w:sz w:val="22"/>
          <w:szCs w:val="22"/>
        </w:rPr>
        <w:t>ve</w:t>
      </w:r>
      <w:r w:rsidR="00003532" w:rsidRPr="00C17F66">
        <w:rPr>
          <w:rFonts w:ascii="Arial" w:hAnsi="Arial" w:cs="Arial"/>
          <w:sz w:val="22"/>
          <w:szCs w:val="22"/>
        </w:rPr>
        <w:t xml:space="preserve"> equipment</w:t>
      </w:r>
      <w:r w:rsidRPr="00C17F66">
        <w:rPr>
          <w:rFonts w:ascii="Arial" w:hAnsi="Arial" w:cs="Arial"/>
          <w:sz w:val="22"/>
          <w:szCs w:val="22"/>
        </w:rPr>
        <w:t xml:space="preserve">, training and </w:t>
      </w:r>
      <w:r w:rsidR="002F6D49" w:rsidRPr="00C17F66">
        <w:rPr>
          <w:rFonts w:ascii="Arial" w:hAnsi="Arial" w:cs="Arial"/>
          <w:sz w:val="22"/>
          <w:szCs w:val="22"/>
        </w:rPr>
        <w:t>promotion of</w:t>
      </w:r>
      <w:r w:rsidR="00003532" w:rsidRPr="00C17F66">
        <w:rPr>
          <w:rFonts w:ascii="Arial" w:hAnsi="Arial" w:cs="Arial"/>
          <w:sz w:val="22"/>
          <w:szCs w:val="22"/>
        </w:rPr>
        <w:t xml:space="preserve"> a culture of safe behaviour</w:t>
      </w:r>
      <w:r w:rsidR="002F6D49" w:rsidRPr="00C17F66">
        <w:rPr>
          <w:rFonts w:ascii="Arial" w:hAnsi="Arial" w:cs="Arial"/>
          <w:sz w:val="22"/>
          <w:szCs w:val="22"/>
        </w:rPr>
        <w:t>,</w:t>
      </w:r>
      <w:r w:rsidRPr="00C17F66">
        <w:rPr>
          <w:rFonts w:ascii="Arial" w:hAnsi="Arial" w:cs="Arial"/>
          <w:sz w:val="22"/>
          <w:szCs w:val="22"/>
        </w:rPr>
        <w:t xml:space="preserve"> are </w:t>
      </w:r>
      <w:r w:rsidR="00003532" w:rsidRPr="00C17F66">
        <w:rPr>
          <w:rFonts w:ascii="Arial" w:hAnsi="Arial" w:cs="Arial"/>
          <w:sz w:val="22"/>
          <w:szCs w:val="22"/>
        </w:rPr>
        <w:t xml:space="preserve">ongoing </w:t>
      </w:r>
      <w:r w:rsidRPr="00C17F66">
        <w:rPr>
          <w:rFonts w:ascii="Arial" w:hAnsi="Arial" w:cs="Arial"/>
          <w:sz w:val="22"/>
          <w:szCs w:val="22"/>
        </w:rPr>
        <w:t>pr</w:t>
      </w:r>
      <w:r w:rsidR="00055F7E" w:rsidRPr="00C17F66">
        <w:rPr>
          <w:rFonts w:ascii="Arial" w:hAnsi="Arial" w:cs="Arial"/>
          <w:sz w:val="22"/>
          <w:szCs w:val="22"/>
        </w:rPr>
        <w:t>o</w:t>
      </w:r>
      <w:r w:rsidRPr="00C17F66">
        <w:rPr>
          <w:rFonts w:ascii="Arial" w:hAnsi="Arial" w:cs="Arial"/>
          <w:sz w:val="22"/>
          <w:szCs w:val="22"/>
        </w:rPr>
        <w:t xml:space="preserve">cesses aimed at ensuring </w:t>
      </w:r>
      <w:r w:rsidR="002F6D49" w:rsidRPr="00C17F66">
        <w:rPr>
          <w:rFonts w:ascii="Arial" w:hAnsi="Arial" w:cs="Arial"/>
          <w:sz w:val="22"/>
          <w:szCs w:val="22"/>
        </w:rPr>
        <w:t>continuous improvement in member</w:t>
      </w:r>
      <w:r w:rsidRPr="00C17F66">
        <w:rPr>
          <w:rFonts w:ascii="Arial" w:hAnsi="Arial" w:cs="Arial"/>
          <w:sz w:val="22"/>
          <w:szCs w:val="22"/>
        </w:rPr>
        <w:t xml:space="preserve"> health and safety.</w:t>
      </w:r>
    </w:p>
    <w:p w:rsidR="00AB1622" w:rsidRPr="00C17F66" w:rsidRDefault="00AB1622" w:rsidP="009E07BA">
      <w:pPr>
        <w:spacing w:after="120"/>
        <w:jc w:val="both"/>
        <w:rPr>
          <w:rFonts w:ascii="Arial" w:hAnsi="Arial" w:cs="Arial"/>
          <w:sz w:val="22"/>
          <w:szCs w:val="22"/>
        </w:rPr>
      </w:pPr>
      <w:r w:rsidRPr="00C17F66">
        <w:rPr>
          <w:rFonts w:ascii="Arial" w:hAnsi="Arial" w:cs="Arial"/>
          <w:b/>
          <w:sz w:val="22"/>
          <w:szCs w:val="22"/>
        </w:rPr>
        <w:t>Recruitment and Retention of Volunteers</w:t>
      </w:r>
      <w:r w:rsidRPr="00C17F66">
        <w:rPr>
          <w:rFonts w:ascii="Arial" w:hAnsi="Arial" w:cs="Arial"/>
          <w:sz w:val="22"/>
          <w:szCs w:val="22"/>
        </w:rPr>
        <w:t xml:space="preserve"> </w:t>
      </w:r>
      <w:r w:rsidR="00055F7E" w:rsidRPr="00C17F66">
        <w:rPr>
          <w:rFonts w:ascii="Arial" w:hAnsi="Arial" w:cs="Arial"/>
          <w:sz w:val="22"/>
          <w:szCs w:val="22"/>
        </w:rPr>
        <w:t>–</w:t>
      </w:r>
      <w:r w:rsidRPr="00C17F66">
        <w:rPr>
          <w:rFonts w:ascii="Arial" w:hAnsi="Arial" w:cs="Arial"/>
          <w:sz w:val="22"/>
          <w:szCs w:val="22"/>
        </w:rPr>
        <w:t xml:space="preserve"> </w:t>
      </w:r>
      <w:r w:rsidR="002F6D49" w:rsidRPr="00C17F66">
        <w:rPr>
          <w:rFonts w:ascii="Arial" w:hAnsi="Arial" w:cs="Arial"/>
          <w:sz w:val="22"/>
          <w:szCs w:val="22"/>
        </w:rPr>
        <w:t>Ninety</w:t>
      </w:r>
      <w:r w:rsidR="005B3788" w:rsidRPr="00C17F66">
        <w:rPr>
          <w:rFonts w:ascii="Arial" w:hAnsi="Arial" w:cs="Arial"/>
          <w:sz w:val="22"/>
          <w:szCs w:val="22"/>
        </w:rPr>
        <w:t>-f</w:t>
      </w:r>
      <w:r w:rsidR="002F6D49" w:rsidRPr="00C17F66">
        <w:rPr>
          <w:rFonts w:ascii="Arial" w:hAnsi="Arial" w:cs="Arial"/>
          <w:sz w:val="22"/>
          <w:szCs w:val="22"/>
        </w:rPr>
        <w:t>ive per cent</w:t>
      </w:r>
      <w:r w:rsidR="00BD193E" w:rsidRPr="00C17F66">
        <w:rPr>
          <w:rFonts w:ascii="Arial" w:hAnsi="Arial" w:cs="Arial"/>
          <w:sz w:val="22"/>
          <w:szCs w:val="22"/>
        </w:rPr>
        <w:t xml:space="preserve"> of </w:t>
      </w:r>
      <w:smartTag w:uri="urn:schemas-microsoft-com:office:smarttags" w:element="stockticker">
        <w:r w:rsidR="00BD193E" w:rsidRPr="00C17F66">
          <w:rPr>
            <w:rFonts w:ascii="Arial" w:hAnsi="Arial" w:cs="Arial"/>
            <w:sz w:val="22"/>
            <w:szCs w:val="22"/>
          </w:rPr>
          <w:t>TFS</w:t>
        </w:r>
      </w:smartTag>
      <w:r w:rsidR="00BD193E" w:rsidRPr="00C17F66">
        <w:rPr>
          <w:rFonts w:ascii="Arial" w:hAnsi="Arial" w:cs="Arial"/>
          <w:sz w:val="22"/>
          <w:szCs w:val="22"/>
        </w:rPr>
        <w:t xml:space="preserve"> operational personnel</w:t>
      </w:r>
      <w:r w:rsidR="004C5030" w:rsidRPr="00C17F66">
        <w:rPr>
          <w:rFonts w:ascii="Arial" w:hAnsi="Arial" w:cs="Arial"/>
          <w:sz w:val="22"/>
          <w:szCs w:val="22"/>
        </w:rPr>
        <w:t xml:space="preserve"> are volunteers</w:t>
      </w:r>
      <w:r w:rsidR="00003532" w:rsidRPr="00C17F66">
        <w:rPr>
          <w:rFonts w:ascii="Arial" w:hAnsi="Arial" w:cs="Arial"/>
          <w:sz w:val="22"/>
          <w:szCs w:val="22"/>
        </w:rPr>
        <w:t xml:space="preserve">. </w:t>
      </w:r>
      <w:r w:rsidR="002F6D49" w:rsidRPr="00C17F66">
        <w:rPr>
          <w:rFonts w:ascii="Arial" w:hAnsi="Arial" w:cs="Arial"/>
          <w:sz w:val="22"/>
          <w:szCs w:val="22"/>
        </w:rPr>
        <w:t>Research</w:t>
      </w:r>
      <w:r w:rsidR="0002346D" w:rsidRPr="00C17F66">
        <w:rPr>
          <w:rFonts w:ascii="Arial" w:hAnsi="Arial" w:cs="Arial"/>
          <w:sz w:val="22"/>
          <w:szCs w:val="22"/>
        </w:rPr>
        <w:t xml:space="preserve"> is being undertaken into recruitment issues and further research is to </w:t>
      </w:r>
      <w:r w:rsidR="002F6D49" w:rsidRPr="00C17F66">
        <w:rPr>
          <w:rFonts w:ascii="Arial" w:hAnsi="Arial" w:cs="Arial"/>
          <w:sz w:val="22"/>
          <w:szCs w:val="22"/>
        </w:rPr>
        <w:t xml:space="preserve">be conducted </w:t>
      </w:r>
      <w:r w:rsidR="0002346D" w:rsidRPr="00C17F66">
        <w:rPr>
          <w:rFonts w:ascii="Arial" w:hAnsi="Arial" w:cs="Arial"/>
          <w:sz w:val="22"/>
          <w:szCs w:val="22"/>
        </w:rPr>
        <w:t xml:space="preserve">on the retention of volunteers. The </w:t>
      </w:r>
      <w:r w:rsidR="002F6D49" w:rsidRPr="00C17F66">
        <w:rPr>
          <w:rFonts w:ascii="Arial" w:hAnsi="Arial" w:cs="Arial"/>
          <w:sz w:val="22"/>
          <w:szCs w:val="22"/>
        </w:rPr>
        <w:t>Commission</w:t>
      </w:r>
      <w:r w:rsidR="00003532" w:rsidRPr="00C17F66">
        <w:rPr>
          <w:rFonts w:ascii="Arial" w:hAnsi="Arial" w:cs="Arial"/>
          <w:sz w:val="22"/>
          <w:szCs w:val="22"/>
        </w:rPr>
        <w:t xml:space="preserve"> </w:t>
      </w:r>
      <w:r w:rsidR="0002346D" w:rsidRPr="00C17F66">
        <w:rPr>
          <w:rFonts w:ascii="Arial" w:hAnsi="Arial" w:cs="Arial"/>
          <w:sz w:val="22"/>
          <w:szCs w:val="22"/>
        </w:rPr>
        <w:t>has invested significant resources into volunteer support and is providing input into</w:t>
      </w:r>
      <w:r w:rsidR="00D67EE6" w:rsidRPr="00C17F66">
        <w:rPr>
          <w:rFonts w:ascii="Arial" w:hAnsi="Arial" w:cs="Arial"/>
          <w:sz w:val="22"/>
          <w:szCs w:val="22"/>
        </w:rPr>
        <w:t xml:space="preserve"> Bushfire</w:t>
      </w:r>
      <w:r w:rsidR="0002346D" w:rsidRPr="00C17F66">
        <w:rPr>
          <w:rFonts w:ascii="Arial" w:hAnsi="Arial" w:cs="Arial"/>
          <w:sz w:val="22"/>
          <w:szCs w:val="22"/>
        </w:rPr>
        <w:t xml:space="preserve"> </w:t>
      </w:r>
      <w:r w:rsidR="00D67EE6" w:rsidRPr="00C17F66">
        <w:rPr>
          <w:rFonts w:ascii="Arial" w:hAnsi="Arial" w:cs="Arial"/>
          <w:sz w:val="22"/>
          <w:szCs w:val="22"/>
        </w:rPr>
        <w:t>C</w:t>
      </w:r>
      <w:r w:rsidR="00003532" w:rsidRPr="00C17F66">
        <w:rPr>
          <w:rFonts w:ascii="Arial" w:hAnsi="Arial" w:cs="Arial"/>
          <w:sz w:val="22"/>
          <w:szCs w:val="22"/>
        </w:rPr>
        <w:t xml:space="preserve">o-operative </w:t>
      </w:r>
      <w:r w:rsidR="00D67EE6" w:rsidRPr="00C17F66">
        <w:rPr>
          <w:rFonts w:ascii="Arial" w:hAnsi="Arial" w:cs="Arial"/>
          <w:sz w:val="22"/>
          <w:szCs w:val="22"/>
        </w:rPr>
        <w:t>R</w:t>
      </w:r>
      <w:r w:rsidR="00003532" w:rsidRPr="00C17F66">
        <w:rPr>
          <w:rFonts w:ascii="Arial" w:hAnsi="Arial" w:cs="Arial"/>
          <w:sz w:val="22"/>
          <w:szCs w:val="22"/>
        </w:rPr>
        <w:t xml:space="preserve">esearch </w:t>
      </w:r>
      <w:r w:rsidR="00D67EE6" w:rsidRPr="00C17F66">
        <w:rPr>
          <w:rFonts w:ascii="Arial" w:hAnsi="Arial" w:cs="Arial"/>
          <w:sz w:val="22"/>
          <w:szCs w:val="22"/>
        </w:rPr>
        <w:t>C</w:t>
      </w:r>
      <w:r w:rsidR="00003532" w:rsidRPr="00C17F66">
        <w:rPr>
          <w:rFonts w:ascii="Arial" w:hAnsi="Arial" w:cs="Arial"/>
          <w:sz w:val="22"/>
          <w:szCs w:val="22"/>
        </w:rPr>
        <w:t>entre</w:t>
      </w:r>
      <w:r w:rsidR="005F2896" w:rsidRPr="00C17F66">
        <w:rPr>
          <w:rFonts w:ascii="Arial" w:hAnsi="Arial" w:cs="Arial"/>
          <w:sz w:val="22"/>
          <w:szCs w:val="22"/>
        </w:rPr>
        <w:t xml:space="preserve"> </w:t>
      </w:r>
      <w:r w:rsidR="0002346D" w:rsidRPr="00C17F66">
        <w:rPr>
          <w:rFonts w:ascii="Arial" w:hAnsi="Arial" w:cs="Arial"/>
          <w:sz w:val="22"/>
          <w:szCs w:val="22"/>
        </w:rPr>
        <w:t xml:space="preserve">research on </w:t>
      </w:r>
      <w:r w:rsidR="002F6D49" w:rsidRPr="00C17F66">
        <w:rPr>
          <w:rFonts w:ascii="Arial" w:hAnsi="Arial" w:cs="Arial"/>
          <w:sz w:val="22"/>
          <w:szCs w:val="22"/>
        </w:rPr>
        <w:t xml:space="preserve">volunteer </w:t>
      </w:r>
      <w:r w:rsidR="0002346D" w:rsidRPr="00C17F66">
        <w:rPr>
          <w:rFonts w:ascii="Arial" w:hAnsi="Arial" w:cs="Arial"/>
          <w:sz w:val="22"/>
          <w:szCs w:val="22"/>
        </w:rPr>
        <w:t>retention.</w:t>
      </w:r>
    </w:p>
    <w:p w:rsidR="008F262A" w:rsidRPr="00C17F66" w:rsidRDefault="008F262A" w:rsidP="008F262A">
      <w:pPr>
        <w:spacing w:after="120"/>
        <w:jc w:val="both"/>
        <w:rPr>
          <w:rFonts w:ascii="Arial" w:hAnsi="Arial" w:cs="Arial"/>
          <w:sz w:val="22"/>
          <w:szCs w:val="22"/>
        </w:rPr>
      </w:pPr>
      <w:r w:rsidRPr="00C17F66">
        <w:rPr>
          <w:rFonts w:ascii="Arial" w:hAnsi="Arial" w:cs="Arial"/>
          <w:b/>
          <w:sz w:val="22"/>
          <w:szCs w:val="22"/>
        </w:rPr>
        <w:t>Discrimination and Harassment</w:t>
      </w:r>
      <w:r w:rsidRPr="00C17F66">
        <w:rPr>
          <w:rFonts w:ascii="Arial" w:hAnsi="Arial" w:cs="Arial"/>
          <w:sz w:val="22"/>
          <w:szCs w:val="22"/>
        </w:rPr>
        <w:t xml:space="preserve"> – </w:t>
      </w:r>
      <w:smartTag w:uri="urn:schemas-microsoft-com:office:smarttags" w:element="stockticker">
        <w:r w:rsidRPr="00C17F66">
          <w:rPr>
            <w:rFonts w:ascii="Arial" w:hAnsi="Arial" w:cs="Arial"/>
            <w:sz w:val="22"/>
            <w:szCs w:val="22"/>
          </w:rPr>
          <w:t>TFS</w:t>
        </w:r>
      </w:smartTag>
      <w:r w:rsidRPr="00C17F66">
        <w:rPr>
          <w:rFonts w:ascii="Arial" w:hAnsi="Arial" w:cs="Arial"/>
          <w:sz w:val="22"/>
          <w:szCs w:val="22"/>
        </w:rPr>
        <w:t xml:space="preserve"> has a diverse range of members with a wide range of views, backgrounds and perceptions. From time to time, these lead to conflicts and allegations of harassment, bullying and discrimination. </w:t>
      </w:r>
      <w:smartTag w:uri="urn:schemas-microsoft-com:office:smarttags" w:element="stockticker">
        <w:r w:rsidRPr="00C17F66">
          <w:rPr>
            <w:rFonts w:ascii="Arial" w:hAnsi="Arial" w:cs="Arial"/>
            <w:sz w:val="22"/>
            <w:szCs w:val="22"/>
          </w:rPr>
          <w:t>TFS</w:t>
        </w:r>
      </w:smartTag>
      <w:r w:rsidRPr="00C17F66">
        <w:rPr>
          <w:rFonts w:ascii="Arial" w:hAnsi="Arial" w:cs="Arial"/>
          <w:sz w:val="22"/>
          <w:szCs w:val="22"/>
        </w:rPr>
        <w:t xml:space="preserve"> is legally obligated to ensure our workplaces and services are free from harassment, bullying and discrimination. Accordingly, </w:t>
      </w:r>
      <w:smartTag w:uri="urn:schemas-microsoft-com:office:smarttags" w:element="stockticker">
        <w:r w:rsidRPr="00C17F66">
          <w:rPr>
            <w:rFonts w:ascii="Arial" w:hAnsi="Arial" w:cs="Arial"/>
            <w:sz w:val="22"/>
            <w:szCs w:val="22"/>
          </w:rPr>
          <w:t>TFS</w:t>
        </w:r>
      </w:smartTag>
      <w:r w:rsidRPr="00C17F66">
        <w:rPr>
          <w:rFonts w:ascii="Arial" w:hAnsi="Arial" w:cs="Arial"/>
          <w:sz w:val="22"/>
          <w:szCs w:val="22"/>
        </w:rPr>
        <w:t xml:space="preserve"> is implementing systems and training programs to support the development of an environment that meets these objectives.</w:t>
      </w:r>
    </w:p>
    <w:p w:rsidR="00F2340F" w:rsidRPr="001E1733" w:rsidRDefault="00F2340F" w:rsidP="005F2896">
      <w:pPr>
        <w:spacing w:after="120"/>
        <w:jc w:val="both"/>
        <w:rPr>
          <w:rFonts w:ascii="Arial" w:hAnsi="Arial" w:cs="Arial"/>
          <w:sz w:val="22"/>
          <w:szCs w:val="22"/>
        </w:rPr>
      </w:pPr>
      <w:r w:rsidRPr="00E86B0E">
        <w:rPr>
          <w:rFonts w:ascii="Arial" w:hAnsi="Arial" w:cs="Arial"/>
          <w:b/>
          <w:sz w:val="22"/>
          <w:szCs w:val="22"/>
        </w:rPr>
        <w:t>Preservation of Capital Works Program</w:t>
      </w:r>
      <w:r w:rsidR="009D5D72" w:rsidRPr="00E86B0E">
        <w:rPr>
          <w:rFonts w:ascii="Arial" w:hAnsi="Arial" w:cs="Arial"/>
          <w:sz w:val="22"/>
          <w:szCs w:val="22"/>
        </w:rPr>
        <w:t xml:space="preserve"> – </w:t>
      </w:r>
      <w:r w:rsidRPr="00E86B0E">
        <w:rPr>
          <w:rFonts w:ascii="Arial" w:hAnsi="Arial" w:cs="Arial"/>
          <w:sz w:val="22"/>
          <w:szCs w:val="22"/>
        </w:rPr>
        <w:t xml:space="preserve">The preservation of a capital works program is </w:t>
      </w:r>
      <w:r w:rsidR="00E86B0E" w:rsidRPr="00E86B0E">
        <w:rPr>
          <w:rFonts w:ascii="Arial" w:hAnsi="Arial" w:cs="Arial"/>
          <w:sz w:val="22"/>
          <w:szCs w:val="22"/>
        </w:rPr>
        <w:t xml:space="preserve">vital </w:t>
      </w:r>
      <w:r w:rsidRPr="00E86B0E">
        <w:rPr>
          <w:rFonts w:ascii="Arial" w:hAnsi="Arial" w:cs="Arial"/>
          <w:sz w:val="22"/>
          <w:szCs w:val="22"/>
        </w:rPr>
        <w:t xml:space="preserve">to the continued </w:t>
      </w:r>
      <w:r w:rsidR="00E86B0E">
        <w:rPr>
          <w:rFonts w:ascii="Arial" w:hAnsi="Arial" w:cs="Arial"/>
          <w:sz w:val="22"/>
          <w:szCs w:val="22"/>
        </w:rPr>
        <w:t>effectiveness</w:t>
      </w:r>
      <w:r w:rsidR="00E86B0E" w:rsidRPr="00E86B0E">
        <w:rPr>
          <w:rFonts w:ascii="Arial" w:hAnsi="Arial" w:cs="Arial"/>
          <w:sz w:val="22"/>
          <w:szCs w:val="22"/>
        </w:rPr>
        <w:t xml:space="preserve"> </w:t>
      </w:r>
      <w:r w:rsidRPr="00E86B0E">
        <w:rPr>
          <w:rFonts w:ascii="Arial" w:hAnsi="Arial" w:cs="Arial"/>
          <w:sz w:val="22"/>
          <w:szCs w:val="22"/>
        </w:rPr>
        <w:t xml:space="preserve">of </w:t>
      </w:r>
      <w:smartTag w:uri="urn:schemas-microsoft-com:office:smarttags" w:element="stockticker">
        <w:r w:rsidR="00747134" w:rsidRPr="00E86B0E">
          <w:rPr>
            <w:rFonts w:ascii="Arial" w:hAnsi="Arial" w:cs="Arial"/>
            <w:sz w:val="22"/>
            <w:szCs w:val="22"/>
          </w:rPr>
          <w:t>TFS</w:t>
        </w:r>
      </w:smartTag>
      <w:r w:rsidRPr="00E86B0E">
        <w:rPr>
          <w:rFonts w:ascii="Arial" w:hAnsi="Arial" w:cs="Arial"/>
          <w:sz w:val="22"/>
          <w:szCs w:val="22"/>
        </w:rPr>
        <w:t>.</w:t>
      </w:r>
      <w:r w:rsidR="001E1733">
        <w:rPr>
          <w:rFonts w:ascii="Arial" w:hAnsi="Arial" w:cs="Arial"/>
          <w:sz w:val="22"/>
          <w:szCs w:val="22"/>
        </w:rPr>
        <w:t xml:space="preserve"> </w:t>
      </w:r>
      <w:r w:rsidRPr="001E1733">
        <w:rPr>
          <w:rFonts w:ascii="Arial" w:hAnsi="Arial" w:cs="Arial"/>
          <w:sz w:val="22"/>
          <w:szCs w:val="22"/>
        </w:rPr>
        <w:t xml:space="preserve">Without </w:t>
      </w:r>
      <w:r w:rsidR="00EF6D73" w:rsidRPr="001E1733">
        <w:rPr>
          <w:rFonts w:ascii="Arial" w:hAnsi="Arial" w:cs="Arial"/>
          <w:sz w:val="22"/>
          <w:szCs w:val="22"/>
        </w:rPr>
        <w:t>sufficient</w:t>
      </w:r>
      <w:r w:rsidRPr="001E1733">
        <w:rPr>
          <w:rFonts w:ascii="Arial" w:hAnsi="Arial" w:cs="Arial"/>
          <w:sz w:val="22"/>
          <w:szCs w:val="22"/>
        </w:rPr>
        <w:t xml:space="preserve"> funding the </w:t>
      </w:r>
      <w:r w:rsidR="00293375" w:rsidRPr="001E1733">
        <w:rPr>
          <w:rFonts w:ascii="Arial" w:hAnsi="Arial" w:cs="Arial"/>
          <w:sz w:val="22"/>
          <w:szCs w:val="22"/>
        </w:rPr>
        <w:t xml:space="preserve">Commission </w:t>
      </w:r>
      <w:r w:rsidRPr="001E1733">
        <w:rPr>
          <w:rFonts w:ascii="Arial" w:hAnsi="Arial" w:cs="Arial"/>
          <w:sz w:val="22"/>
          <w:szCs w:val="22"/>
        </w:rPr>
        <w:t>will not be able to continue its current fire appliance replacement program and it will be unable to replace, in an acceptable period of time, a significant number of fire appliances that either do not provide the necessary crew protection or are costly and difficult to maintain.</w:t>
      </w:r>
      <w:r w:rsidR="00E86B0E" w:rsidRPr="001E1733">
        <w:rPr>
          <w:rFonts w:ascii="Arial" w:hAnsi="Arial" w:cs="Arial"/>
          <w:sz w:val="22"/>
          <w:szCs w:val="22"/>
        </w:rPr>
        <w:t xml:space="preserve"> </w:t>
      </w:r>
    </w:p>
    <w:p w:rsidR="00F2340F" w:rsidRPr="00E86B0E" w:rsidRDefault="00190303" w:rsidP="009E07BA">
      <w:pPr>
        <w:spacing w:after="120"/>
        <w:jc w:val="both"/>
        <w:rPr>
          <w:rFonts w:ascii="Arial" w:hAnsi="Arial" w:cs="Arial"/>
          <w:sz w:val="22"/>
          <w:szCs w:val="22"/>
        </w:rPr>
      </w:pPr>
      <w:r w:rsidRPr="00E86B0E">
        <w:rPr>
          <w:rFonts w:ascii="Arial" w:hAnsi="Arial" w:cs="Arial"/>
          <w:b/>
          <w:sz w:val="22"/>
          <w:szCs w:val="22"/>
        </w:rPr>
        <w:t>Communications Infrastructure</w:t>
      </w:r>
      <w:r w:rsidRPr="00E86B0E">
        <w:rPr>
          <w:rFonts w:ascii="Arial" w:hAnsi="Arial" w:cs="Arial"/>
          <w:sz w:val="22"/>
          <w:szCs w:val="22"/>
        </w:rPr>
        <w:t xml:space="preserve"> – </w:t>
      </w:r>
      <w:r w:rsidR="002F6D49" w:rsidRPr="00E86B0E">
        <w:rPr>
          <w:rFonts w:ascii="Arial" w:hAnsi="Arial" w:cs="Arial"/>
          <w:sz w:val="22"/>
          <w:szCs w:val="22"/>
        </w:rPr>
        <w:t>Advanced</w:t>
      </w:r>
      <w:r w:rsidR="00C9724F" w:rsidRPr="00E86B0E">
        <w:rPr>
          <w:rFonts w:ascii="Arial" w:hAnsi="Arial" w:cs="Arial"/>
          <w:sz w:val="22"/>
          <w:szCs w:val="22"/>
        </w:rPr>
        <w:t xml:space="preserve"> communications systems and information technology </w:t>
      </w:r>
      <w:r w:rsidR="00E86B0E">
        <w:rPr>
          <w:rFonts w:ascii="Arial" w:hAnsi="Arial" w:cs="Arial"/>
          <w:sz w:val="22"/>
          <w:szCs w:val="22"/>
        </w:rPr>
        <w:t xml:space="preserve">are vital to </w:t>
      </w:r>
      <w:smartTag w:uri="urn:schemas-microsoft-com:office:smarttags" w:element="stockticker">
        <w:r w:rsidR="00E86B0E">
          <w:rPr>
            <w:rFonts w:ascii="Arial" w:hAnsi="Arial" w:cs="Arial"/>
            <w:sz w:val="22"/>
            <w:szCs w:val="22"/>
          </w:rPr>
          <w:t>TFS</w:t>
        </w:r>
      </w:smartTag>
      <w:r w:rsidR="00E86B0E">
        <w:rPr>
          <w:rFonts w:ascii="Arial" w:hAnsi="Arial" w:cs="Arial"/>
          <w:sz w:val="22"/>
          <w:szCs w:val="22"/>
        </w:rPr>
        <w:t xml:space="preserve"> t</w:t>
      </w:r>
      <w:r w:rsidR="00C9724F" w:rsidRPr="00E86B0E">
        <w:rPr>
          <w:rFonts w:ascii="Arial" w:hAnsi="Arial" w:cs="Arial"/>
          <w:sz w:val="22"/>
          <w:szCs w:val="22"/>
        </w:rPr>
        <w:t xml:space="preserve">o </w:t>
      </w:r>
      <w:r w:rsidR="00E86B0E">
        <w:rPr>
          <w:rFonts w:ascii="Arial" w:hAnsi="Arial" w:cs="Arial"/>
          <w:sz w:val="22"/>
          <w:szCs w:val="22"/>
        </w:rPr>
        <w:t xml:space="preserve">deliver </w:t>
      </w:r>
      <w:r w:rsidR="00336D6E">
        <w:rPr>
          <w:rFonts w:ascii="Arial" w:hAnsi="Arial" w:cs="Arial"/>
          <w:sz w:val="22"/>
          <w:szCs w:val="22"/>
        </w:rPr>
        <w:t xml:space="preserve">an </w:t>
      </w:r>
      <w:r w:rsidR="00C9724F" w:rsidRPr="00E86B0E">
        <w:rPr>
          <w:rFonts w:ascii="Arial" w:hAnsi="Arial" w:cs="Arial"/>
          <w:sz w:val="22"/>
          <w:szCs w:val="22"/>
        </w:rPr>
        <w:t>effective emergency response</w:t>
      </w:r>
      <w:r w:rsidR="002F6D49" w:rsidRPr="00E86B0E">
        <w:rPr>
          <w:rFonts w:ascii="Arial" w:hAnsi="Arial" w:cs="Arial"/>
          <w:sz w:val="22"/>
          <w:szCs w:val="22"/>
        </w:rPr>
        <w:t>. In addition,</w:t>
      </w:r>
      <w:r w:rsidR="00A976B2" w:rsidRPr="00E86B0E">
        <w:rPr>
          <w:rFonts w:ascii="Arial" w:hAnsi="Arial" w:cs="Arial"/>
          <w:sz w:val="22"/>
          <w:szCs w:val="22"/>
        </w:rPr>
        <w:t xml:space="preserve"> </w:t>
      </w:r>
      <w:r w:rsidR="00336D6E">
        <w:rPr>
          <w:rFonts w:ascii="Arial" w:hAnsi="Arial" w:cs="Arial"/>
          <w:sz w:val="22"/>
          <w:szCs w:val="22"/>
        </w:rPr>
        <w:t>o</w:t>
      </w:r>
      <w:r w:rsidR="00E86B0E">
        <w:rPr>
          <w:rFonts w:ascii="Arial" w:hAnsi="Arial" w:cs="Arial"/>
          <w:sz w:val="22"/>
          <w:szCs w:val="22"/>
        </w:rPr>
        <w:t>t</w:t>
      </w:r>
      <w:r w:rsidR="00A976B2" w:rsidRPr="00E86B0E">
        <w:rPr>
          <w:rFonts w:ascii="Arial" w:hAnsi="Arial" w:cs="Arial"/>
          <w:sz w:val="22"/>
          <w:szCs w:val="22"/>
        </w:rPr>
        <w:t xml:space="preserve">her agencies </w:t>
      </w:r>
      <w:r w:rsidR="00E86B0E">
        <w:rPr>
          <w:rFonts w:ascii="Arial" w:hAnsi="Arial" w:cs="Arial"/>
          <w:sz w:val="22"/>
          <w:szCs w:val="22"/>
        </w:rPr>
        <w:t xml:space="preserve">such as the Tasmanian Ambulance Service and the State Emergency Service, </w:t>
      </w:r>
      <w:r w:rsidR="006711C1" w:rsidRPr="00E86B0E">
        <w:rPr>
          <w:rFonts w:ascii="Arial" w:hAnsi="Arial" w:cs="Arial"/>
          <w:sz w:val="22"/>
          <w:szCs w:val="22"/>
        </w:rPr>
        <w:t xml:space="preserve">access and use </w:t>
      </w:r>
      <w:smartTag w:uri="urn:schemas-microsoft-com:office:smarttags" w:element="stockticker">
        <w:r w:rsidR="006711C1" w:rsidRPr="00E86B0E">
          <w:rPr>
            <w:rFonts w:ascii="Arial" w:hAnsi="Arial" w:cs="Arial"/>
            <w:sz w:val="22"/>
            <w:szCs w:val="22"/>
          </w:rPr>
          <w:t>TFS</w:t>
        </w:r>
      </w:smartTag>
      <w:r w:rsidR="006711C1" w:rsidRPr="00E86B0E">
        <w:rPr>
          <w:rFonts w:ascii="Arial" w:hAnsi="Arial" w:cs="Arial"/>
          <w:sz w:val="22"/>
          <w:szCs w:val="22"/>
        </w:rPr>
        <w:t xml:space="preserve"> networks</w:t>
      </w:r>
      <w:r w:rsidR="00E86B0E">
        <w:rPr>
          <w:rFonts w:ascii="Arial" w:hAnsi="Arial" w:cs="Arial"/>
          <w:sz w:val="22"/>
          <w:szCs w:val="22"/>
        </w:rPr>
        <w:t>,</w:t>
      </w:r>
      <w:r w:rsidR="006711C1" w:rsidRPr="00E86B0E">
        <w:rPr>
          <w:rFonts w:ascii="Arial" w:hAnsi="Arial" w:cs="Arial"/>
          <w:sz w:val="22"/>
          <w:szCs w:val="22"/>
        </w:rPr>
        <w:t xml:space="preserve"> </w:t>
      </w:r>
      <w:r w:rsidR="00E86B0E">
        <w:rPr>
          <w:rFonts w:ascii="Arial" w:hAnsi="Arial" w:cs="Arial"/>
          <w:sz w:val="22"/>
          <w:szCs w:val="22"/>
        </w:rPr>
        <w:t>so</w:t>
      </w:r>
      <w:r w:rsidR="00E86B0E" w:rsidRPr="00E86B0E">
        <w:rPr>
          <w:rFonts w:ascii="Arial" w:hAnsi="Arial" w:cs="Arial"/>
          <w:sz w:val="22"/>
          <w:szCs w:val="22"/>
        </w:rPr>
        <w:t xml:space="preserve"> </w:t>
      </w:r>
      <w:r w:rsidR="006711C1" w:rsidRPr="00E86B0E">
        <w:rPr>
          <w:rFonts w:ascii="Arial" w:hAnsi="Arial" w:cs="Arial"/>
          <w:sz w:val="22"/>
          <w:szCs w:val="22"/>
        </w:rPr>
        <w:t>reduc</w:t>
      </w:r>
      <w:r w:rsidR="00E86B0E">
        <w:rPr>
          <w:rFonts w:ascii="Arial" w:hAnsi="Arial" w:cs="Arial"/>
          <w:sz w:val="22"/>
          <w:szCs w:val="22"/>
        </w:rPr>
        <w:t>ing</w:t>
      </w:r>
      <w:r w:rsidR="006711C1" w:rsidRPr="00E86B0E">
        <w:rPr>
          <w:rFonts w:ascii="Arial" w:hAnsi="Arial" w:cs="Arial"/>
          <w:sz w:val="22"/>
          <w:szCs w:val="22"/>
        </w:rPr>
        <w:t xml:space="preserve"> duplication and minimis</w:t>
      </w:r>
      <w:r w:rsidR="00E86B0E">
        <w:rPr>
          <w:rFonts w:ascii="Arial" w:hAnsi="Arial" w:cs="Arial"/>
          <w:sz w:val="22"/>
          <w:szCs w:val="22"/>
        </w:rPr>
        <w:t>ing</w:t>
      </w:r>
      <w:r w:rsidR="006711C1" w:rsidRPr="00E86B0E">
        <w:rPr>
          <w:rFonts w:ascii="Arial" w:hAnsi="Arial" w:cs="Arial"/>
          <w:sz w:val="22"/>
          <w:szCs w:val="22"/>
        </w:rPr>
        <w:t xml:space="preserve"> costs. </w:t>
      </w:r>
      <w:r w:rsidR="00C9724F" w:rsidRPr="00E86B0E">
        <w:rPr>
          <w:rFonts w:ascii="Arial" w:hAnsi="Arial" w:cs="Arial"/>
          <w:sz w:val="22"/>
          <w:szCs w:val="22"/>
        </w:rPr>
        <w:t xml:space="preserve">Reliance on such technology means </w:t>
      </w:r>
      <w:r w:rsidR="006711C1" w:rsidRPr="00E86B0E">
        <w:rPr>
          <w:rFonts w:ascii="Arial" w:hAnsi="Arial" w:cs="Arial"/>
          <w:sz w:val="22"/>
          <w:szCs w:val="22"/>
        </w:rPr>
        <w:t>that a failure</w:t>
      </w:r>
      <w:r w:rsidR="00C9724F" w:rsidRPr="00E86B0E">
        <w:rPr>
          <w:rFonts w:ascii="Arial" w:hAnsi="Arial" w:cs="Arial"/>
          <w:sz w:val="22"/>
          <w:szCs w:val="22"/>
        </w:rPr>
        <w:t xml:space="preserve"> of any of these systems is a significant risk for </w:t>
      </w:r>
      <w:smartTag w:uri="urn:schemas-microsoft-com:office:smarttags" w:element="stockticker">
        <w:r w:rsidR="00E86B0E">
          <w:rPr>
            <w:rFonts w:ascii="Arial" w:hAnsi="Arial" w:cs="Arial"/>
            <w:sz w:val="22"/>
            <w:szCs w:val="22"/>
          </w:rPr>
          <w:t>TFS</w:t>
        </w:r>
      </w:smartTag>
      <w:r w:rsidR="00C9724F" w:rsidRPr="00E86B0E">
        <w:rPr>
          <w:rFonts w:ascii="Arial" w:hAnsi="Arial" w:cs="Arial"/>
          <w:sz w:val="22"/>
          <w:szCs w:val="22"/>
        </w:rPr>
        <w:t>.</w:t>
      </w:r>
    </w:p>
    <w:p w:rsidR="00D03499" w:rsidRDefault="00953442" w:rsidP="00400EB9">
      <w:pPr>
        <w:pStyle w:val="Heading1"/>
        <w:tabs>
          <w:tab w:val="left" w:pos="567"/>
        </w:tabs>
        <w:spacing w:before="360" w:after="240"/>
        <w:rPr>
          <w:rFonts w:ascii="Arial" w:hAnsi="Arial" w:cs="Arial"/>
          <w:sz w:val="22"/>
          <w:szCs w:val="22"/>
        </w:rPr>
      </w:pPr>
      <w:bookmarkStart w:id="16" w:name="_Toc288225432"/>
      <w:r w:rsidRPr="00D97E1B">
        <w:rPr>
          <w:rFonts w:ascii="Arial" w:hAnsi="Arial" w:cs="Arial"/>
          <w:sz w:val="22"/>
          <w:szCs w:val="22"/>
        </w:rPr>
        <w:t xml:space="preserve">Key Risk Register – </w:t>
      </w:r>
      <w:r w:rsidRPr="00D03499">
        <w:rPr>
          <w:rFonts w:ascii="Arial" w:hAnsi="Arial" w:cs="Arial"/>
          <w:b w:val="0"/>
          <w:sz w:val="22"/>
          <w:szCs w:val="22"/>
        </w:rPr>
        <w:t xml:space="preserve">Ongoing maintenance and review of the Key Risk Register remains a major priority of the Commission. The Register assists the Commission to manage its risks and enables it to </w:t>
      </w:r>
      <w:r w:rsidR="0053531E" w:rsidRPr="00D03499">
        <w:rPr>
          <w:rFonts w:ascii="Arial" w:hAnsi="Arial" w:cs="Arial"/>
          <w:b w:val="0"/>
          <w:sz w:val="22"/>
          <w:szCs w:val="22"/>
        </w:rPr>
        <w:t xml:space="preserve">plan and </w:t>
      </w:r>
      <w:r w:rsidRPr="00D03499">
        <w:rPr>
          <w:rFonts w:ascii="Arial" w:hAnsi="Arial" w:cs="Arial"/>
          <w:b w:val="0"/>
          <w:sz w:val="22"/>
          <w:szCs w:val="22"/>
        </w:rPr>
        <w:t>allocate resources to areas considered vulnerable or under resourced.</w:t>
      </w:r>
      <w:r w:rsidR="0053531E" w:rsidRPr="00D03499">
        <w:rPr>
          <w:rFonts w:ascii="Arial" w:hAnsi="Arial" w:cs="Arial"/>
          <w:b w:val="0"/>
          <w:sz w:val="22"/>
          <w:szCs w:val="22"/>
        </w:rPr>
        <w:t xml:space="preserve">  In addition the Key Risk Register provides the basis for the development of business continuity plans and the subsequent testing of these plans</w:t>
      </w:r>
      <w:r w:rsidR="00D03499">
        <w:rPr>
          <w:rFonts w:ascii="Arial" w:hAnsi="Arial" w:cs="Arial"/>
          <w:b w:val="0"/>
          <w:sz w:val="22"/>
          <w:szCs w:val="22"/>
        </w:rPr>
        <w:t>.</w:t>
      </w:r>
    </w:p>
    <w:p w:rsidR="009E07BA" w:rsidRPr="008047D6" w:rsidRDefault="009E07BA" w:rsidP="00400EB9">
      <w:pPr>
        <w:pStyle w:val="Heading1"/>
        <w:tabs>
          <w:tab w:val="left" w:pos="567"/>
        </w:tabs>
        <w:spacing w:before="360" w:after="240"/>
        <w:rPr>
          <w:rFonts w:ascii="Arial" w:hAnsi="Arial" w:cs="Arial"/>
          <w:sz w:val="22"/>
          <w:szCs w:val="22"/>
        </w:rPr>
      </w:pPr>
      <w:bookmarkStart w:id="17" w:name="_Toc477750217"/>
      <w:bookmarkStart w:id="18" w:name="_Toc509828791"/>
      <w:bookmarkStart w:id="19" w:name="_Toc509908371"/>
      <w:bookmarkStart w:id="20" w:name="_Toc288225433"/>
      <w:r w:rsidRPr="008047D6">
        <w:rPr>
          <w:rFonts w:ascii="Arial" w:hAnsi="Arial" w:cs="Arial"/>
          <w:sz w:val="22"/>
          <w:szCs w:val="22"/>
        </w:rPr>
        <w:t>6.</w:t>
      </w:r>
      <w:r w:rsidRPr="008047D6">
        <w:rPr>
          <w:rFonts w:ascii="Arial" w:hAnsi="Arial" w:cs="Arial"/>
          <w:sz w:val="22"/>
          <w:szCs w:val="22"/>
        </w:rPr>
        <w:tab/>
        <w:t>STRATEGIC DIRECTION</w:t>
      </w:r>
      <w:bookmarkEnd w:id="16"/>
      <w:bookmarkEnd w:id="17"/>
      <w:bookmarkEnd w:id="18"/>
      <w:bookmarkEnd w:id="19"/>
      <w:bookmarkEnd w:id="20"/>
    </w:p>
    <w:p w:rsidR="009E07BA" w:rsidRPr="008047D6" w:rsidRDefault="009E07BA" w:rsidP="00E5758B">
      <w:pPr>
        <w:spacing w:before="120" w:after="120"/>
        <w:rPr>
          <w:rFonts w:ascii="Arial" w:hAnsi="Arial" w:cs="Arial"/>
          <w:b/>
          <w:sz w:val="22"/>
          <w:szCs w:val="22"/>
        </w:rPr>
      </w:pPr>
      <w:r w:rsidRPr="008047D6">
        <w:rPr>
          <w:rFonts w:ascii="Arial" w:hAnsi="Arial" w:cs="Arial"/>
          <w:b/>
          <w:sz w:val="22"/>
          <w:szCs w:val="22"/>
        </w:rPr>
        <w:t>Introduction</w:t>
      </w:r>
    </w:p>
    <w:p w:rsidR="009E07BA" w:rsidRPr="00C17F66" w:rsidRDefault="009E07BA" w:rsidP="009E07BA">
      <w:pPr>
        <w:spacing w:after="120"/>
        <w:jc w:val="both"/>
        <w:rPr>
          <w:rFonts w:ascii="Arial" w:hAnsi="Arial" w:cs="Arial"/>
          <w:sz w:val="22"/>
          <w:szCs w:val="22"/>
        </w:rPr>
      </w:pPr>
      <w:r w:rsidRPr="00C17F66">
        <w:rPr>
          <w:rFonts w:ascii="Arial" w:hAnsi="Arial" w:cs="Arial"/>
          <w:sz w:val="22"/>
          <w:szCs w:val="22"/>
        </w:rPr>
        <w:t xml:space="preserve">In reviewing and developing the strategic direction of the Commission, a consultative process was </w:t>
      </w:r>
      <w:r w:rsidR="00190303" w:rsidRPr="00C17F66">
        <w:rPr>
          <w:rFonts w:ascii="Arial" w:hAnsi="Arial" w:cs="Arial"/>
          <w:sz w:val="22"/>
          <w:szCs w:val="22"/>
        </w:rPr>
        <w:t>under</w:t>
      </w:r>
      <w:r w:rsidRPr="00C17F66">
        <w:rPr>
          <w:rFonts w:ascii="Arial" w:hAnsi="Arial" w:cs="Arial"/>
          <w:sz w:val="22"/>
          <w:szCs w:val="22"/>
        </w:rPr>
        <w:t xml:space="preserve">taken involving a large group of people from </w:t>
      </w:r>
      <w:smartTag w:uri="urn:schemas-microsoft-com:office:smarttags" w:element="stockticker">
        <w:r w:rsidR="00D97E1B" w:rsidRPr="00C17F66">
          <w:rPr>
            <w:rFonts w:ascii="Arial" w:hAnsi="Arial" w:cs="Arial"/>
            <w:sz w:val="22"/>
            <w:szCs w:val="22"/>
          </w:rPr>
          <w:t>TFS</w:t>
        </w:r>
      </w:smartTag>
      <w:r w:rsidRPr="00C17F66">
        <w:rPr>
          <w:rFonts w:ascii="Arial" w:hAnsi="Arial" w:cs="Arial"/>
          <w:sz w:val="22"/>
          <w:szCs w:val="22"/>
        </w:rPr>
        <w:t>.</w:t>
      </w:r>
      <w:r w:rsidR="00F91EF3" w:rsidRPr="00C17F66">
        <w:rPr>
          <w:rFonts w:ascii="Arial" w:hAnsi="Arial" w:cs="Arial"/>
          <w:sz w:val="22"/>
          <w:szCs w:val="22"/>
        </w:rPr>
        <w:t xml:space="preserve"> The </w:t>
      </w:r>
      <w:r w:rsidR="006711C1" w:rsidRPr="00C17F66">
        <w:rPr>
          <w:rFonts w:ascii="Arial" w:hAnsi="Arial" w:cs="Arial"/>
          <w:sz w:val="22"/>
          <w:szCs w:val="22"/>
        </w:rPr>
        <w:t>Commission</w:t>
      </w:r>
      <w:r w:rsidR="00F91EF3" w:rsidRPr="00C17F66">
        <w:rPr>
          <w:rFonts w:ascii="Arial" w:hAnsi="Arial" w:cs="Arial"/>
          <w:sz w:val="22"/>
          <w:szCs w:val="22"/>
        </w:rPr>
        <w:t xml:space="preserve"> continues to consult in developing the Corporate Plan.</w:t>
      </w:r>
    </w:p>
    <w:p w:rsidR="00DF78A5" w:rsidRPr="00DF78A5" w:rsidRDefault="009E07BA" w:rsidP="00DF78A5">
      <w:pPr>
        <w:spacing w:after="120"/>
        <w:jc w:val="both"/>
        <w:rPr>
          <w:rFonts w:ascii="Arial" w:hAnsi="Arial" w:cs="Arial"/>
          <w:sz w:val="22"/>
          <w:szCs w:val="22"/>
        </w:rPr>
      </w:pPr>
      <w:r w:rsidRPr="00C17F66">
        <w:rPr>
          <w:rFonts w:ascii="Arial" w:hAnsi="Arial" w:cs="Arial"/>
          <w:sz w:val="22"/>
          <w:szCs w:val="22"/>
        </w:rPr>
        <w:t xml:space="preserve">The Commission actively supports the continual close working relationship with other </w:t>
      </w:r>
      <w:r w:rsidR="00D97E1B" w:rsidRPr="00C17F66">
        <w:rPr>
          <w:rFonts w:ascii="Arial" w:hAnsi="Arial" w:cs="Arial"/>
          <w:sz w:val="22"/>
          <w:szCs w:val="22"/>
        </w:rPr>
        <w:t>agencies</w:t>
      </w:r>
      <w:r w:rsidRPr="00C17F66">
        <w:rPr>
          <w:rFonts w:ascii="Arial" w:hAnsi="Arial" w:cs="Arial"/>
          <w:sz w:val="22"/>
          <w:szCs w:val="22"/>
        </w:rPr>
        <w:t xml:space="preserve"> and will be seeking, wherever possible, to eliminate duplication and maximise the use of </w:t>
      </w:r>
      <w:r w:rsidR="00D97E1B" w:rsidRPr="00C17F66">
        <w:rPr>
          <w:rFonts w:ascii="Arial" w:hAnsi="Arial" w:cs="Arial"/>
          <w:sz w:val="22"/>
          <w:szCs w:val="22"/>
        </w:rPr>
        <w:t>the State’s</w:t>
      </w:r>
      <w:r w:rsidRPr="00C17F66">
        <w:rPr>
          <w:rFonts w:ascii="Arial" w:hAnsi="Arial" w:cs="Arial"/>
          <w:sz w:val="22"/>
          <w:szCs w:val="22"/>
        </w:rPr>
        <w:t xml:space="preserve"> resources.</w:t>
      </w:r>
      <w:r w:rsidR="00DF78A5" w:rsidRPr="00C17F66">
        <w:rPr>
          <w:rFonts w:ascii="Arial" w:hAnsi="Arial" w:cs="Arial"/>
          <w:sz w:val="22"/>
          <w:szCs w:val="22"/>
        </w:rPr>
        <w:t xml:space="preserve"> </w:t>
      </w:r>
    </w:p>
    <w:p w:rsidR="009E07BA" w:rsidRPr="008047D6" w:rsidRDefault="009E07BA" w:rsidP="00400EB9">
      <w:pPr>
        <w:spacing w:before="240" w:after="240"/>
        <w:rPr>
          <w:rFonts w:ascii="Arial" w:hAnsi="Arial" w:cs="Arial"/>
          <w:b/>
          <w:sz w:val="22"/>
          <w:szCs w:val="22"/>
        </w:rPr>
      </w:pPr>
      <w:r w:rsidRPr="008047D6">
        <w:rPr>
          <w:rFonts w:ascii="Arial" w:hAnsi="Arial" w:cs="Arial"/>
          <w:b/>
          <w:sz w:val="22"/>
          <w:szCs w:val="22"/>
        </w:rPr>
        <w:t>Key Result Areas</w:t>
      </w:r>
    </w:p>
    <w:p w:rsidR="009E07BA" w:rsidRPr="008047D6" w:rsidRDefault="009E07BA" w:rsidP="00400EB9">
      <w:pPr>
        <w:spacing w:before="120" w:after="120"/>
        <w:jc w:val="both"/>
        <w:rPr>
          <w:rFonts w:ascii="Arial" w:hAnsi="Arial" w:cs="Arial"/>
          <w:sz w:val="22"/>
          <w:szCs w:val="22"/>
        </w:rPr>
      </w:pPr>
      <w:r w:rsidRPr="008047D6">
        <w:rPr>
          <w:rFonts w:ascii="Arial" w:hAnsi="Arial" w:cs="Arial"/>
          <w:sz w:val="22"/>
          <w:szCs w:val="22"/>
        </w:rPr>
        <w:t xml:space="preserve">The </w:t>
      </w:r>
      <w:r w:rsidR="00D97E1B">
        <w:rPr>
          <w:rFonts w:ascii="Arial" w:hAnsi="Arial" w:cs="Arial"/>
          <w:sz w:val="22"/>
          <w:szCs w:val="22"/>
        </w:rPr>
        <w:t>five</w:t>
      </w:r>
      <w:r w:rsidR="00D97E1B" w:rsidRPr="008047D6">
        <w:rPr>
          <w:rFonts w:ascii="Arial" w:hAnsi="Arial" w:cs="Arial"/>
          <w:sz w:val="22"/>
          <w:szCs w:val="22"/>
        </w:rPr>
        <w:t xml:space="preserve"> </w:t>
      </w:r>
      <w:r w:rsidRPr="008047D6">
        <w:rPr>
          <w:rFonts w:ascii="Arial" w:hAnsi="Arial" w:cs="Arial"/>
          <w:sz w:val="22"/>
          <w:szCs w:val="22"/>
        </w:rPr>
        <w:t>Key Result Areas are detailed below:</w:t>
      </w:r>
    </w:p>
    <w:p w:rsidR="00D97E1B" w:rsidRPr="00D97E1B" w:rsidRDefault="00D97E1B" w:rsidP="0083415A">
      <w:pPr>
        <w:keepNext/>
        <w:keepLines/>
        <w:numPr>
          <w:ilvl w:val="0"/>
          <w:numId w:val="3"/>
        </w:numPr>
        <w:tabs>
          <w:tab w:val="left" w:pos="567"/>
        </w:tabs>
        <w:spacing w:after="120"/>
        <w:ind w:hanging="567"/>
        <w:jc w:val="both"/>
        <w:rPr>
          <w:rFonts w:ascii="Arial" w:hAnsi="Arial" w:cs="Arial"/>
          <w:sz w:val="22"/>
          <w:szCs w:val="22"/>
        </w:rPr>
      </w:pPr>
      <w:r>
        <w:rPr>
          <w:rFonts w:ascii="Arial" w:hAnsi="Arial" w:cs="Arial"/>
          <w:i/>
          <w:sz w:val="22"/>
          <w:szCs w:val="22"/>
        </w:rPr>
        <w:t>A</w:t>
      </w:r>
      <w:r w:rsidRPr="008047D6">
        <w:rPr>
          <w:rFonts w:ascii="Arial" w:hAnsi="Arial" w:cs="Arial"/>
          <w:i/>
          <w:sz w:val="22"/>
          <w:szCs w:val="22"/>
        </w:rPr>
        <w:t xml:space="preserve"> Fire Safe Community</w:t>
      </w:r>
      <w:r>
        <w:rPr>
          <w:rFonts w:ascii="Arial" w:hAnsi="Arial" w:cs="Arial"/>
          <w:i/>
          <w:sz w:val="22"/>
          <w:szCs w:val="22"/>
        </w:rPr>
        <w:t>;</w:t>
      </w:r>
    </w:p>
    <w:p w:rsidR="009E07BA" w:rsidRPr="008047D6" w:rsidRDefault="00495F9D" w:rsidP="0083415A">
      <w:pPr>
        <w:keepNext/>
        <w:keepLines/>
        <w:numPr>
          <w:ilvl w:val="0"/>
          <w:numId w:val="3"/>
        </w:numPr>
        <w:tabs>
          <w:tab w:val="left" w:pos="567"/>
        </w:tabs>
        <w:spacing w:after="120"/>
        <w:ind w:hanging="567"/>
        <w:jc w:val="both"/>
        <w:rPr>
          <w:rFonts w:ascii="Arial" w:hAnsi="Arial" w:cs="Arial"/>
          <w:sz w:val="22"/>
          <w:szCs w:val="22"/>
        </w:rPr>
      </w:pPr>
      <w:r>
        <w:rPr>
          <w:rFonts w:ascii="Arial" w:hAnsi="Arial" w:cs="Arial"/>
          <w:i/>
          <w:sz w:val="22"/>
          <w:szCs w:val="22"/>
        </w:rPr>
        <w:t>Emergency Response</w:t>
      </w:r>
      <w:r w:rsidR="00CC09E3">
        <w:rPr>
          <w:rFonts w:ascii="Arial" w:hAnsi="Arial" w:cs="Arial"/>
          <w:sz w:val="22"/>
          <w:szCs w:val="22"/>
        </w:rPr>
        <w:t>;</w:t>
      </w:r>
      <w:r w:rsidR="009E07BA" w:rsidRPr="008047D6">
        <w:rPr>
          <w:rFonts w:ascii="Arial" w:hAnsi="Arial" w:cs="Arial"/>
          <w:sz w:val="22"/>
          <w:szCs w:val="22"/>
        </w:rPr>
        <w:t xml:space="preserve"> </w:t>
      </w:r>
    </w:p>
    <w:p w:rsidR="00D97E1B" w:rsidRPr="00D97E1B" w:rsidRDefault="00D97E1B" w:rsidP="0083415A">
      <w:pPr>
        <w:keepNext/>
        <w:keepLines/>
        <w:numPr>
          <w:ilvl w:val="0"/>
          <w:numId w:val="4"/>
        </w:numPr>
        <w:tabs>
          <w:tab w:val="left" w:pos="567"/>
        </w:tabs>
        <w:spacing w:after="120"/>
        <w:ind w:hanging="567"/>
        <w:jc w:val="both"/>
        <w:rPr>
          <w:rFonts w:ascii="Arial" w:hAnsi="Arial" w:cs="Arial"/>
          <w:sz w:val="22"/>
          <w:szCs w:val="22"/>
        </w:rPr>
      </w:pPr>
      <w:r w:rsidRPr="00C74A2F">
        <w:rPr>
          <w:rFonts w:ascii="Arial" w:hAnsi="Arial" w:cs="Arial"/>
          <w:i/>
          <w:sz w:val="22"/>
          <w:szCs w:val="22"/>
        </w:rPr>
        <w:t>Our Organisation</w:t>
      </w:r>
      <w:r>
        <w:rPr>
          <w:rFonts w:ascii="Arial" w:hAnsi="Arial" w:cs="Arial"/>
          <w:i/>
          <w:sz w:val="22"/>
          <w:szCs w:val="22"/>
        </w:rPr>
        <w:t>;</w:t>
      </w:r>
    </w:p>
    <w:p w:rsidR="009E07BA" w:rsidRPr="008047D6" w:rsidRDefault="009E07BA" w:rsidP="0083415A">
      <w:pPr>
        <w:keepNext/>
        <w:keepLines/>
        <w:numPr>
          <w:ilvl w:val="0"/>
          <w:numId w:val="4"/>
        </w:numPr>
        <w:tabs>
          <w:tab w:val="left" w:pos="567"/>
        </w:tabs>
        <w:spacing w:after="120"/>
        <w:ind w:hanging="567"/>
        <w:jc w:val="both"/>
        <w:rPr>
          <w:rFonts w:ascii="Arial" w:hAnsi="Arial" w:cs="Arial"/>
          <w:sz w:val="22"/>
          <w:szCs w:val="22"/>
        </w:rPr>
      </w:pPr>
      <w:r w:rsidRPr="008047D6">
        <w:rPr>
          <w:rFonts w:ascii="Arial" w:hAnsi="Arial" w:cs="Arial"/>
          <w:i/>
          <w:sz w:val="22"/>
          <w:szCs w:val="22"/>
        </w:rPr>
        <w:t>Our People</w:t>
      </w:r>
      <w:r w:rsidR="00D97E1B">
        <w:rPr>
          <w:rFonts w:ascii="Arial" w:hAnsi="Arial" w:cs="Arial"/>
          <w:sz w:val="22"/>
          <w:szCs w:val="22"/>
        </w:rPr>
        <w:t>; and</w:t>
      </w:r>
    </w:p>
    <w:p w:rsidR="00D40EA8" w:rsidRPr="00C74A2F" w:rsidRDefault="009E07BA" w:rsidP="0083415A">
      <w:pPr>
        <w:keepNext/>
        <w:keepLines/>
        <w:numPr>
          <w:ilvl w:val="0"/>
          <w:numId w:val="4"/>
        </w:numPr>
        <w:tabs>
          <w:tab w:val="left" w:pos="567"/>
        </w:tabs>
        <w:spacing w:after="120"/>
        <w:ind w:hanging="567"/>
        <w:jc w:val="both"/>
        <w:rPr>
          <w:rFonts w:ascii="Arial" w:hAnsi="Arial" w:cs="Arial"/>
          <w:i/>
          <w:sz w:val="22"/>
          <w:szCs w:val="22"/>
        </w:rPr>
      </w:pPr>
      <w:r w:rsidRPr="008047D6">
        <w:rPr>
          <w:rFonts w:ascii="Arial" w:hAnsi="Arial" w:cs="Arial"/>
          <w:i/>
          <w:sz w:val="22"/>
          <w:szCs w:val="22"/>
        </w:rPr>
        <w:t>Our Resources</w:t>
      </w:r>
      <w:r w:rsidR="00D97E1B">
        <w:rPr>
          <w:rFonts w:ascii="Arial" w:hAnsi="Arial" w:cs="Arial"/>
          <w:sz w:val="22"/>
          <w:szCs w:val="22"/>
        </w:rPr>
        <w:t>.</w:t>
      </w:r>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Each Key Result Area has a goal statem</w:t>
      </w:r>
      <w:r w:rsidR="001F21D9" w:rsidRPr="008047D6">
        <w:rPr>
          <w:rFonts w:ascii="Arial" w:hAnsi="Arial" w:cs="Arial"/>
          <w:sz w:val="22"/>
          <w:szCs w:val="22"/>
        </w:rPr>
        <w:t>ent and a number of objectives</w:t>
      </w:r>
      <w:r w:rsidR="00A009EA" w:rsidRPr="008047D6">
        <w:rPr>
          <w:rFonts w:ascii="Arial" w:hAnsi="Arial" w:cs="Arial"/>
          <w:sz w:val="22"/>
          <w:szCs w:val="22"/>
        </w:rPr>
        <w:t>,</w:t>
      </w:r>
      <w:r w:rsidR="00B6505D" w:rsidRPr="008047D6">
        <w:rPr>
          <w:rFonts w:ascii="Arial" w:hAnsi="Arial" w:cs="Arial"/>
          <w:sz w:val="22"/>
          <w:szCs w:val="22"/>
        </w:rPr>
        <w:t xml:space="preserve"> </w:t>
      </w:r>
      <w:r w:rsidR="001F21D9" w:rsidRPr="008047D6">
        <w:rPr>
          <w:rFonts w:ascii="Arial" w:hAnsi="Arial" w:cs="Arial"/>
          <w:sz w:val="22"/>
          <w:szCs w:val="22"/>
        </w:rPr>
        <w:t>k</w:t>
      </w:r>
      <w:r w:rsidR="00B6505D" w:rsidRPr="008047D6">
        <w:rPr>
          <w:rFonts w:ascii="Arial" w:hAnsi="Arial" w:cs="Arial"/>
          <w:sz w:val="22"/>
          <w:szCs w:val="22"/>
        </w:rPr>
        <w:t xml:space="preserve">ey performance indicators and priorities for </w:t>
      </w:r>
      <w:r w:rsidR="005B2670">
        <w:rPr>
          <w:rFonts w:ascii="Arial" w:hAnsi="Arial" w:cs="Arial"/>
          <w:sz w:val="22"/>
          <w:szCs w:val="22"/>
        </w:rPr>
        <w:t>201</w:t>
      </w:r>
      <w:r w:rsidR="00715677">
        <w:rPr>
          <w:rFonts w:ascii="Arial" w:hAnsi="Arial" w:cs="Arial"/>
          <w:sz w:val="22"/>
          <w:szCs w:val="22"/>
        </w:rPr>
        <w:t>1</w:t>
      </w:r>
      <w:r w:rsidR="005B2670">
        <w:rPr>
          <w:rFonts w:ascii="Arial" w:hAnsi="Arial" w:cs="Arial"/>
          <w:sz w:val="22"/>
          <w:szCs w:val="22"/>
        </w:rPr>
        <w:t>-1</w:t>
      </w:r>
      <w:r w:rsidR="00715677">
        <w:rPr>
          <w:rFonts w:ascii="Arial" w:hAnsi="Arial" w:cs="Arial"/>
          <w:sz w:val="22"/>
          <w:szCs w:val="22"/>
        </w:rPr>
        <w:t>2</w:t>
      </w:r>
      <w:r w:rsidR="00B6505D" w:rsidRPr="008047D6">
        <w:rPr>
          <w:rFonts w:ascii="Arial" w:hAnsi="Arial" w:cs="Arial"/>
          <w:sz w:val="22"/>
          <w:szCs w:val="22"/>
        </w:rPr>
        <w:t>.</w:t>
      </w:r>
    </w:p>
    <w:p w:rsidR="00725497" w:rsidRPr="008047D6" w:rsidRDefault="008047D6" w:rsidP="00400EB9">
      <w:pPr>
        <w:spacing w:after="240"/>
        <w:rPr>
          <w:rFonts w:ascii="Arial" w:hAnsi="Arial" w:cs="Arial"/>
          <w:b/>
          <w:sz w:val="22"/>
          <w:szCs w:val="22"/>
        </w:rPr>
      </w:pPr>
      <w:r>
        <w:rPr>
          <w:rFonts w:ascii="Arial" w:hAnsi="Arial" w:cs="Arial"/>
          <w:b/>
          <w:sz w:val="22"/>
          <w:szCs w:val="22"/>
        </w:rPr>
        <w:br w:type="page"/>
      </w:r>
      <w:smartTag w:uri="urn:schemas-microsoft-com:office:smarttags" w:element="stockticker">
        <w:r w:rsidR="00725497" w:rsidRPr="008047D6">
          <w:rPr>
            <w:rFonts w:ascii="Arial" w:hAnsi="Arial" w:cs="Arial"/>
            <w:b/>
            <w:sz w:val="22"/>
            <w:szCs w:val="22"/>
          </w:rPr>
          <w:t>KEY</w:t>
        </w:r>
      </w:smartTag>
      <w:r w:rsidR="00725497" w:rsidRPr="008047D6">
        <w:rPr>
          <w:rFonts w:ascii="Arial" w:hAnsi="Arial" w:cs="Arial"/>
          <w:b/>
          <w:sz w:val="22"/>
          <w:szCs w:val="22"/>
        </w:rPr>
        <w:t xml:space="preserve"> RESULT </w:t>
      </w:r>
      <w:smartTag w:uri="urn:schemas-microsoft-com:office:smarttags" w:element="stockticker">
        <w:r w:rsidR="00725497" w:rsidRPr="008047D6">
          <w:rPr>
            <w:rFonts w:ascii="Arial" w:hAnsi="Arial" w:cs="Arial"/>
            <w:b/>
            <w:sz w:val="22"/>
            <w:szCs w:val="22"/>
          </w:rPr>
          <w:t>AREA</w:t>
        </w:r>
      </w:smartTag>
      <w:r w:rsidR="00725497" w:rsidRPr="008047D6">
        <w:rPr>
          <w:rFonts w:ascii="Arial" w:hAnsi="Arial" w:cs="Arial"/>
          <w:b/>
          <w:sz w:val="22"/>
          <w:szCs w:val="22"/>
        </w:rPr>
        <w:t xml:space="preserve"> 1</w:t>
      </w:r>
    </w:p>
    <w:p w:rsidR="00266D55" w:rsidRPr="008047D6" w:rsidRDefault="00266D55" w:rsidP="00CB0FB7">
      <w:pPr>
        <w:pStyle w:val="Heading1"/>
        <w:spacing w:before="360" w:after="480"/>
        <w:jc w:val="center"/>
        <w:rPr>
          <w:rFonts w:ascii="Arial" w:hAnsi="Arial" w:cs="Arial"/>
          <w:bCs/>
          <w:i/>
          <w:sz w:val="22"/>
          <w:szCs w:val="22"/>
        </w:rPr>
      </w:pPr>
      <w:bookmarkStart w:id="21" w:name="_Toc288225434"/>
      <w:bookmarkStart w:id="22" w:name="_Toc509828792"/>
      <w:bookmarkStart w:id="23" w:name="_Toc509908372"/>
      <w:r w:rsidRPr="008047D6">
        <w:rPr>
          <w:rFonts w:ascii="Arial" w:hAnsi="Arial" w:cs="Arial"/>
          <w:bCs/>
          <w:i/>
          <w:sz w:val="22"/>
          <w:szCs w:val="22"/>
        </w:rPr>
        <w:t xml:space="preserve">A </w:t>
      </w:r>
      <w:smartTag w:uri="urn:schemas-microsoft-com:office:smarttags" w:element="stockticker">
        <w:r w:rsidRPr="008047D6">
          <w:rPr>
            <w:rFonts w:ascii="Arial" w:hAnsi="Arial" w:cs="Arial"/>
            <w:bCs/>
            <w:i/>
            <w:sz w:val="22"/>
            <w:szCs w:val="22"/>
          </w:rPr>
          <w:t>FIRE</w:t>
        </w:r>
      </w:smartTag>
      <w:r w:rsidRPr="008047D6">
        <w:rPr>
          <w:rFonts w:ascii="Arial" w:hAnsi="Arial" w:cs="Arial"/>
          <w:bCs/>
          <w:i/>
          <w:sz w:val="22"/>
          <w:szCs w:val="22"/>
        </w:rPr>
        <w:t xml:space="preserve"> </w:t>
      </w:r>
      <w:smartTag w:uri="urn:schemas-microsoft-com:office:smarttags" w:element="stockticker">
        <w:r w:rsidRPr="008047D6">
          <w:rPr>
            <w:rFonts w:ascii="Arial" w:hAnsi="Arial" w:cs="Arial"/>
            <w:bCs/>
            <w:i/>
            <w:sz w:val="22"/>
            <w:szCs w:val="22"/>
          </w:rPr>
          <w:t>SAFE</w:t>
        </w:r>
      </w:smartTag>
      <w:r w:rsidRPr="008047D6">
        <w:rPr>
          <w:rFonts w:ascii="Arial" w:hAnsi="Arial" w:cs="Arial"/>
          <w:bCs/>
          <w:i/>
          <w:sz w:val="22"/>
          <w:szCs w:val="22"/>
        </w:rPr>
        <w:t xml:space="preserve"> COMMUNITY</w:t>
      </w:r>
      <w:bookmarkEnd w:id="21"/>
    </w:p>
    <w:p w:rsidR="00266D55" w:rsidRPr="008047D6" w:rsidRDefault="00266D55" w:rsidP="00CB0FB7">
      <w:pPr>
        <w:spacing w:before="240" w:after="240"/>
        <w:rPr>
          <w:rFonts w:ascii="Arial" w:hAnsi="Arial" w:cs="Arial"/>
          <w:b/>
          <w:sz w:val="22"/>
          <w:szCs w:val="22"/>
        </w:rPr>
      </w:pPr>
      <w:r w:rsidRPr="008047D6">
        <w:rPr>
          <w:rFonts w:ascii="Arial" w:hAnsi="Arial" w:cs="Arial"/>
          <w:b/>
          <w:sz w:val="22"/>
          <w:szCs w:val="22"/>
        </w:rPr>
        <w:t>GOAL STATEMENT:</w:t>
      </w:r>
    </w:p>
    <w:p w:rsidR="009C6C98" w:rsidRPr="008047D6" w:rsidRDefault="009C6C98" w:rsidP="009C6C98">
      <w:pPr>
        <w:rPr>
          <w:rFonts w:ascii="Arial" w:hAnsi="Arial" w:cs="Arial"/>
          <w:sz w:val="22"/>
          <w:szCs w:val="22"/>
        </w:rPr>
      </w:pPr>
      <w:r w:rsidRPr="008047D6">
        <w:rPr>
          <w:rFonts w:ascii="Arial" w:hAnsi="Arial" w:cs="Arial"/>
          <w:sz w:val="22"/>
          <w:szCs w:val="22"/>
        </w:rPr>
        <w:t xml:space="preserve">To </w:t>
      </w:r>
      <w:r>
        <w:rPr>
          <w:rFonts w:ascii="Arial" w:hAnsi="Arial" w:cs="Arial"/>
          <w:sz w:val="22"/>
          <w:szCs w:val="22"/>
        </w:rPr>
        <w:t xml:space="preserve">assist </w:t>
      </w:r>
      <w:r w:rsidRPr="008047D6">
        <w:rPr>
          <w:rFonts w:ascii="Arial" w:hAnsi="Arial" w:cs="Arial"/>
          <w:sz w:val="22"/>
          <w:szCs w:val="22"/>
        </w:rPr>
        <w:t xml:space="preserve">the Tasmanian community </w:t>
      </w:r>
      <w:r>
        <w:rPr>
          <w:rFonts w:ascii="Arial" w:hAnsi="Arial" w:cs="Arial"/>
          <w:sz w:val="22"/>
          <w:szCs w:val="22"/>
        </w:rPr>
        <w:t xml:space="preserve">to </w:t>
      </w:r>
      <w:r w:rsidRPr="008047D6">
        <w:rPr>
          <w:rFonts w:ascii="Arial" w:hAnsi="Arial" w:cs="Arial"/>
          <w:sz w:val="22"/>
          <w:szCs w:val="22"/>
        </w:rPr>
        <w:t>manage fire risks and respond safely to fire.</w:t>
      </w:r>
    </w:p>
    <w:p w:rsidR="009C6C98" w:rsidRPr="008047D6" w:rsidRDefault="009C6C98" w:rsidP="00CB0FB7">
      <w:pPr>
        <w:spacing w:before="240" w:after="240"/>
        <w:rPr>
          <w:rFonts w:ascii="Arial" w:hAnsi="Arial" w:cs="Arial"/>
          <w:b/>
          <w:sz w:val="22"/>
          <w:szCs w:val="22"/>
        </w:rPr>
      </w:pPr>
      <w:r w:rsidRPr="008047D6">
        <w:rPr>
          <w:rFonts w:ascii="Arial" w:hAnsi="Arial" w:cs="Arial"/>
          <w:b/>
          <w:sz w:val="22"/>
          <w:szCs w:val="22"/>
        </w:rPr>
        <w:t>OBJECTIVES:</w:t>
      </w:r>
    </w:p>
    <w:p w:rsidR="009C6C98" w:rsidRDefault="009C6C98" w:rsidP="0083415A">
      <w:pPr>
        <w:numPr>
          <w:ilvl w:val="0"/>
          <w:numId w:val="19"/>
        </w:numPr>
        <w:spacing w:after="240"/>
        <w:ind w:left="357" w:hanging="357"/>
        <w:jc w:val="both"/>
        <w:rPr>
          <w:rFonts w:ascii="Arial" w:hAnsi="Arial" w:cs="Arial"/>
          <w:b/>
          <w:sz w:val="22"/>
          <w:szCs w:val="22"/>
        </w:rPr>
      </w:pPr>
      <w:r>
        <w:rPr>
          <w:rFonts w:ascii="Arial" w:hAnsi="Arial" w:cs="Arial"/>
          <w:b/>
          <w:sz w:val="22"/>
          <w:szCs w:val="22"/>
        </w:rPr>
        <w:t xml:space="preserve">Build community capacity to reduce fire risks and act safely when fire occurs. </w:t>
      </w:r>
    </w:p>
    <w:p w:rsidR="009C6C98" w:rsidRDefault="009C6C98" w:rsidP="0083415A">
      <w:pPr>
        <w:numPr>
          <w:ilvl w:val="0"/>
          <w:numId w:val="19"/>
        </w:numPr>
        <w:spacing w:after="240"/>
        <w:jc w:val="both"/>
        <w:rPr>
          <w:rFonts w:ascii="Arial" w:hAnsi="Arial" w:cs="Arial"/>
          <w:b/>
          <w:sz w:val="22"/>
          <w:szCs w:val="22"/>
        </w:rPr>
      </w:pPr>
      <w:r>
        <w:rPr>
          <w:rFonts w:ascii="Arial" w:hAnsi="Arial" w:cs="Arial"/>
          <w:b/>
          <w:sz w:val="22"/>
          <w:szCs w:val="22"/>
        </w:rPr>
        <w:t xml:space="preserve">Deliver community safety strategies that are based on research and standards of best practice. </w:t>
      </w:r>
    </w:p>
    <w:p w:rsidR="009C6C98" w:rsidRPr="008047D6" w:rsidRDefault="009C6C98" w:rsidP="0083415A">
      <w:pPr>
        <w:numPr>
          <w:ilvl w:val="0"/>
          <w:numId w:val="19"/>
        </w:numPr>
        <w:spacing w:after="240"/>
        <w:jc w:val="both"/>
        <w:rPr>
          <w:rFonts w:ascii="Arial" w:hAnsi="Arial" w:cs="Arial"/>
          <w:b/>
          <w:sz w:val="22"/>
          <w:szCs w:val="22"/>
        </w:rPr>
      </w:pPr>
      <w:r>
        <w:rPr>
          <w:rFonts w:ascii="Arial" w:hAnsi="Arial" w:cs="Arial"/>
          <w:b/>
          <w:sz w:val="22"/>
          <w:szCs w:val="22"/>
        </w:rPr>
        <w:t>Engage with and influence government and industry in order to improve workplace fire safety</w:t>
      </w:r>
      <w:r w:rsidRPr="008047D6">
        <w:rPr>
          <w:rFonts w:ascii="Arial" w:hAnsi="Arial" w:cs="Arial"/>
          <w:b/>
          <w:sz w:val="22"/>
          <w:szCs w:val="22"/>
        </w:rPr>
        <w:t>.</w:t>
      </w:r>
    </w:p>
    <w:p w:rsidR="009C6C98" w:rsidRPr="008047D6" w:rsidRDefault="009C6C98" w:rsidP="00C01321">
      <w:pPr>
        <w:spacing w:before="240" w:after="240"/>
        <w:rPr>
          <w:rFonts w:ascii="Arial" w:hAnsi="Arial" w:cs="Arial"/>
          <w:b/>
          <w:sz w:val="22"/>
          <w:szCs w:val="22"/>
        </w:rPr>
      </w:pPr>
      <w:r w:rsidRPr="008047D6">
        <w:rPr>
          <w:rFonts w:ascii="Arial" w:hAnsi="Arial" w:cs="Arial"/>
          <w:b/>
          <w:sz w:val="22"/>
          <w:szCs w:val="22"/>
        </w:rPr>
        <w:t>Key Performance Indicators</w:t>
      </w:r>
      <w:r>
        <w:rPr>
          <w:rFonts w:ascii="Arial" w:hAnsi="Arial" w:cs="Arial"/>
          <w:b/>
          <w:sz w:val="22"/>
          <w:szCs w:val="22"/>
        </w:rPr>
        <w:t xml:space="preserve">: </w:t>
      </w:r>
      <w:r w:rsidRPr="008047D6">
        <w:rPr>
          <w:rFonts w:ascii="Arial" w:hAnsi="Arial" w:cs="Arial"/>
          <w:b/>
          <w:sz w:val="22"/>
          <w:szCs w:val="22"/>
        </w:rPr>
        <w:t xml:space="preserve"> </w:t>
      </w:r>
    </w:p>
    <w:p w:rsidR="003739A2" w:rsidRPr="008047D6" w:rsidRDefault="003739A2" w:rsidP="00C01321">
      <w:pPr>
        <w:pStyle w:val="BodyText2"/>
        <w:keepNext w:val="0"/>
        <w:keepLines w:val="0"/>
        <w:numPr>
          <w:ilvl w:val="0"/>
          <w:numId w:val="16"/>
        </w:numPr>
        <w:tabs>
          <w:tab w:val="clear" w:pos="266"/>
          <w:tab w:val="num" w:pos="540"/>
        </w:tabs>
        <w:ind w:left="539" w:hanging="539"/>
        <w:rPr>
          <w:rFonts w:ascii="Arial" w:hAnsi="Arial" w:cs="Arial"/>
          <w:sz w:val="22"/>
          <w:szCs w:val="22"/>
        </w:rPr>
      </w:pPr>
      <w:r w:rsidRPr="008047D6">
        <w:rPr>
          <w:rFonts w:ascii="Arial" w:hAnsi="Arial" w:cs="Arial"/>
          <w:sz w:val="22"/>
          <w:szCs w:val="22"/>
        </w:rPr>
        <w:t xml:space="preserve">The rate of </w:t>
      </w:r>
      <w:r>
        <w:rPr>
          <w:rFonts w:ascii="Arial" w:hAnsi="Arial" w:cs="Arial"/>
          <w:sz w:val="22"/>
          <w:szCs w:val="22"/>
        </w:rPr>
        <w:t xml:space="preserve">accidental </w:t>
      </w:r>
      <w:r w:rsidRPr="008047D6">
        <w:rPr>
          <w:rFonts w:ascii="Arial" w:hAnsi="Arial" w:cs="Arial"/>
          <w:sz w:val="22"/>
          <w:szCs w:val="22"/>
        </w:rPr>
        <w:t xml:space="preserve">fire fatalities </w:t>
      </w:r>
      <w:r>
        <w:rPr>
          <w:rFonts w:ascii="Arial" w:hAnsi="Arial" w:cs="Arial"/>
          <w:sz w:val="22"/>
          <w:szCs w:val="22"/>
        </w:rPr>
        <w:t>and</w:t>
      </w:r>
      <w:r w:rsidRPr="008047D6">
        <w:rPr>
          <w:rFonts w:ascii="Arial" w:hAnsi="Arial" w:cs="Arial"/>
          <w:sz w:val="22"/>
          <w:szCs w:val="22"/>
        </w:rPr>
        <w:t xml:space="preserve"> injuries (number of </w:t>
      </w:r>
      <w:r>
        <w:rPr>
          <w:rFonts w:ascii="Arial" w:hAnsi="Arial" w:cs="Arial"/>
          <w:sz w:val="22"/>
          <w:szCs w:val="22"/>
        </w:rPr>
        <w:t xml:space="preserve">accidental </w:t>
      </w:r>
      <w:r w:rsidRPr="008047D6">
        <w:rPr>
          <w:rFonts w:ascii="Arial" w:hAnsi="Arial" w:cs="Arial"/>
          <w:sz w:val="22"/>
          <w:szCs w:val="22"/>
        </w:rPr>
        <w:t xml:space="preserve">fatalities </w:t>
      </w:r>
      <w:r>
        <w:rPr>
          <w:rFonts w:ascii="Arial" w:hAnsi="Arial" w:cs="Arial"/>
          <w:sz w:val="22"/>
          <w:szCs w:val="22"/>
        </w:rPr>
        <w:t>and</w:t>
      </w:r>
      <w:r w:rsidRPr="008047D6">
        <w:rPr>
          <w:rFonts w:ascii="Arial" w:hAnsi="Arial" w:cs="Arial"/>
          <w:sz w:val="22"/>
          <w:szCs w:val="22"/>
        </w:rPr>
        <w:t xml:space="preserve"> injuries/100,000 residents).</w:t>
      </w:r>
    </w:p>
    <w:p w:rsidR="00FE44C8" w:rsidRPr="008047D6" w:rsidRDefault="00FE44C8" w:rsidP="0083415A">
      <w:pPr>
        <w:pStyle w:val="BodyText2"/>
        <w:keepNext w:val="0"/>
        <w:keepLines w:val="0"/>
        <w:numPr>
          <w:ilvl w:val="0"/>
          <w:numId w:val="16"/>
        </w:numPr>
        <w:tabs>
          <w:tab w:val="clear" w:pos="266"/>
          <w:tab w:val="num" w:pos="540"/>
        </w:tabs>
        <w:ind w:left="540" w:hanging="540"/>
        <w:rPr>
          <w:rFonts w:ascii="Arial" w:hAnsi="Arial" w:cs="Arial"/>
          <w:sz w:val="22"/>
          <w:szCs w:val="22"/>
        </w:rPr>
      </w:pPr>
      <w:r w:rsidRPr="008047D6">
        <w:rPr>
          <w:rFonts w:ascii="Arial" w:hAnsi="Arial" w:cs="Arial"/>
          <w:sz w:val="22"/>
          <w:szCs w:val="22"/>
        </w:rPr>
        <w:t>The rate of accidental house</w:t>
      </w:r>
      <w:r>
        <w:rPr>
          <w:rFonts w:ascii="Arial" w:hAnsi="Arial" w:cs="Arial"/>
          <w:sz w:val="22"/>
          <w:szCs w:val="22"/>
        </w:rPr>
        <w:t xml:space="preserve"> </w:t>
      </w:r>
      <w:r w:rsidRPr="008047D6">
        <w:rPr>
          <w:rFonts w:ascii="Arial" w:hAnsi="Arial" w:cs="Arial"/>
          <w:sz w:val="22"/>
          <w:szCs w:val="22"/>
        </w:rPr>
        <w:t xml:space="preserve">fires (number of accidental house fires reported to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/100,000 homes).</w:t>
      </w:r>
    </w:p>
    <w:p w:rsidR="00FE44C8" w:rsidRPr="008047D6" w:rsidRDefault="00FE44C8"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sidRPr="008047D6">
        <w:rPr>
          <w:rFonts w:ascii="Arial" w:hAnsi="Arial" w:cs="Arial"/>
          <w:sz w:val="22"/>
          <w:szCs w:val="22"/>
        </w:rPr>
        <w:t xml:space="preserve">The rate of accidental </w:t>
      </w:r>
      <w:r>
        <w:rPr>
          <w:rFonts w:ascii="Arial" w:hAnsi="Arial" w:cs="Arial"/>
          <w:sz w:val="22"/>
          <w:szCs w:val="22"/>
        </w:rPr>
        <w:t xml:space="preserve">structural </w:t>
      </w:r>
      <w:r w:rsidRPr="008047D6">
        <w:rPr>
          <w:rFonts w:ascii="Arial" w:hAnsi="Arial" w:cs="Arial"/>
          <w:sz w:val="22"/>
          <w:szCs w:val="22"/>
        </w:rPr>
        <w:t xml:space="preserve">fires in the government </w:t>
      </w:r>
      <w:r>
        <w:rPr>
          <w:rFonts w:ascii="Arial" w:hAnsi="Arial" w:cs="Arial"/>
          <w:sz w:val="22"/>
          <w:szCs w:val="22"/>
        </w:rPr>
        <w:t>and</w:t>
      </w:r>
      <w:r w:rsidRPr="008047D6">
        <w:rPr>
          <w:rFonts w:ascii="Arial" w:hAnsi="Arial" w:cs="Arial"/>
          <w:sz w:val="22"/>
          <w:szCs w:val="22"/>
        </w:rPr>
        <w:t xml:space="preserve"> business sector (number of accidental structure fires reported to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/100,000 businesses).</w:t>
      </w:r>
    </w:p>
    <w:p w:rsidR="0061707F" w:rsidRDefault="00FE44C8" w:rsidP="0061707F">
      <w:pPr>
        <w:spacing w:before="240" w:after="240"/>
        <w:rPr>
          <w:rFonts w:ascii="Arial" w:hAnsi="Arial" w:cs="Arial"/>
          <w:b/>
          <w:sz w:val="22"/>
          <w:szCs w:val="22"/>
        </w:rPr>
      </w:pPr>
      <w:r w:rsidRPr="008047D6">
        <w:rPr>
          <w:rFonts w:ascii="Arial" w:hAnsi="Arial" w:cs="Arial"/>
          <w:sz w:val="22"/>
          <w:szCs w:val="22"/>
        </w:rPr>
        <w:t>The rate of occupied buildings substantially damaged by bushfire (number of occupied buildings substantially damaged by bushfire/100,000 homes).</w:t>
      </w:r>
      <w:r w:rsidR="0061707F" w:rsidRPr="0061707F">
        <w:rPr>
          <w:rFonts w:ascii="Arial" w:hAnsi="Arial" w:cs="Arial"/>
          <w:b/>
          <w:sz w:val="22"/>
          <w:szCs w:val="22"/>
        </w:rPr>
        <w:t xml:space="preserve"> </w:t>
      </w:r>
    </w:p>
    <w:p w:rsidR="0061707F" w:rsidRPr="007A19EF" w:rsidRDefault="0061707F" w:rsidP="0061707F">
      <w:pPr>
        <w:spacing w:before="240" w:after="240"/>
        <w:rPr>
          <w:rFonts w:ascii="Arial" w:hAnsi="Arial" w:cs="Arial"/>
          <w:b/>
          <w:sz w:val="22"/>
          <w:szCs w:val="22"/>
        </w:rPr>
      </w:pPr>
      <w:r>
        <w:rPr>
          <w:rFonts w:ascii="Arial" w:hAnsi="Arial" w:cs="Arial"/>
          <w:b/>
          <w:sz w:val="22"/>
          <w:szCs w:val="22"/>
        </w:rPr>
        <w:t xml:space="preserve">Priorities and targets for </w:t>
      </w:r>
      <w:r w:rsidR="00715677">
        <w:rPr>
          <w:rFonts w:ascii="Arial" w:hAnsi="Arial" w:cs="Arial"/>
          <w:b/>
          <w:sz w:val="22"/>
          <w:szCs w:val="22"/>
        </w:rPr>
        <w:t>2011-12</w:t>
      </w:r>
      <w:r w:rsidRPr="007A19EF">
        <w:rPr>
          <w:rFonts w:ascii="Arial" w:hAnsi="Arial" w:cs="Arial"/>
          <w:b/>
          <w:sz w:val="22"/>
          <w:szCs w:val="22"/>
        </w:rPr>
        <w:t>:</w:t>
      </w:r>
    </w:p>
    <w:p w:rsidR="00175F5C" w:rsidRPr="006C3469" w:rsidRDefault="00175F5C" w:rsidP="00175F5C">
      <w:pPr>
        <w:numPr>
          <w:ilvl w:val="1"/>
          <w:numId w:val="16"/>
        </w:numPr>
        <w:tabs>
          <w:tab w:val="clear" w:pos="1440"/>
          <w:tab w:val="num" w:pos="540"/>
        </w:tabs>
        <w:spacing w:before="240" w:after="240"/>
        <w:ind w:left="539" w:hanging="539"/>
        <w:jc w:val="both"/>
        <w:rPr>
          <w:sz w:val="22"/>
          <w:szCs w:val="22"/>
        </w:rPr>
      </w:pPr>
      <w:r>
        <w:rPr>
          <w:rFonts w:ascii="Arial" w:hAnsi="Arial" w:cs="Arial"/>
          <w:sz w:val="22"/>
          <w:szCs w:val="22"/>
        </w:rPr>
        <w:t>Continue to</w:t>
      </w:r>
      <w:r w:rsidRPr="006C3469">
        <w:rPr>
          <w:rFonts w:ascii="Arial" w:hAnsi="Arial" w:cs="Arial"/>
          <w:sz w:val="22"/>
          <w:szCs w:val="22"/>
        </w:rPr>
        <w:t xml:space="preserve"> implement and evaluate </w:t>
      </w:r>
      <w:r>
        <w:rPr>
          <w:rFonts w:ascii="Arial" w:hAnsi="Arial" w:cs="Arial"/>
          <w:sz w:val="22"/>
          <w:szCs w:val="22"/>
        </w:rPr>
        <w:t xml:space="preserve">the </w:t>
      </w:r>
      <w:r w:rsidRPr="00D03499">
        <w:rPr>
          <w:rFonts w:ascii="Arial" w:hAnsi="Arial" w:cs="Arial"/>
          <w:sz w:val="22"/>
          <w:szCs w:val="22"/>
        </w:rPr>
        <w:t>20</w:t>
      </w:r>
      <w:r w:rsidR="00264680" w:rsidRPr="00D03499">
        <w:rPr>
          <w:rFonts w:ascii="Arial" w:hAnsi="Arial" w:cs="Arial"/>
          <w:sz w:val="22"/>
          <w:szCs w:val="22"/>
        </w:rPr>
        <w:t>10</w:t>
      </w:r>
      <w:r w:rsidRPr="00D03499">
        <w:rPr>
          <w:rFonts w:ascii="Arial" w:hAnsi="Arial" w:cs="Arial"/>
          <w:sz w:val="22"/>
          <w:szCs w:val="22"/>
        </w:rPr>
        <w:t>-1</w:t>
      </w:r>
      <w:r w:rsidR="00264680" w:rsidRPr="00D03499">
        <w:rPr>
          <w:rFonts w:ascii="Arial" w:hAnsi="Arial" w:cs="Arial"/>
          <w:sz w:val="22"/>
          <w:szCs w:val="22"/>
        </w:rPr>
        <w:t xml:space="preserve">1 </w:t>
      </w:r>
      <w:r w:rsidRPr="00D03499">
        <w:rPr>
          <w:rFonts w:ascii="Arial" w:hAnsi="Arial" w:cs="Arial"/>
          <w:sz w:val="22"/>
          <w:szCs w:val="22"/>
        </w:rPr>
        <w:t>to 201</w:t>
      </w:r>
      <w:r w:rsidR="00264680" w:rsidRPr="00D03499">
        <w:rPr>
          <w:rFonts w:ascii="Arial" w:hAnsi="Arial" w:cs="Arial"/>
          <w:sz w:val="22"/>
          <w:szCs w:val="22"/>
        </w:rPr>
        <w:t>2</w:t>
      </w:r>
      <w:r w:rsidRPr="00D03499">
        <w:rPr>
          <w:rFonts w:ascii="Arial" w:hAnsi="Arial" w:cs="Arial"/>
          <w:sz w:val="22"/>
          <w:szCs w:val="22"/>
        </w:rPr>
        <w:t>-1</w:t>
      </w:r>
      <w:r w:rsidR="00264680" w:rsidRPr="00D03499">
        <w:rPr>
          <w:rFonts w:ascii="Arial" w:hAnsi="Arial" w:cs="Arial"/>
          <w:sz w:val="22"/>
          <w:szCs w:val="22"/>
        </w:rPr>
        <w:t>3</w:t>
      </w:r>
      <w:r w:rsidRPr="006C3469">
        <w:rPr>
          <w:rFonts w:ascii="Arial" w:hAnsi="Arial" w:cs="Arial"/>
          <w:sz w:val="22"/>
          <w:szCs w:val="22"/>
        </w:rPr>
        <w:t xml:space="preserve"> bushfire safety campaign.</w:t>
      </w:r>
    </w:p>
    <w:p w:rsidR="00175F5C" w:rsidRPr="00D026B9" w:rsidRDefault="00175F5C" w:rsidP="00175F5C">
      <w:pPr>
        <w:numPr>
          <w:ilvl w:val="1"/>
          <w:numId w:val="16"/>
        </w:numPr>
        <w:tabs>
          <w:tab w:val="clear" w:pos="1440"/>
          <w:tab w:val="num" w:pos="540"/>
        </w:tabs>
        <w:spacing w:before="240" w:after="240"/>
        <w:ind w:left="539" w:hanging="539"/>
        <w:jc w:val="both"/>
        <w:rPr>
          <w:sz w:val="22"/>
          <w:szCs w:val="22"/>
        </w:rPr>
      </w:pPr>
      <w:r>
        <w:rPr>
          <w:rFonts w:ascii="Arial" w:hAnsi="Arial" w:cs="Arial"/>
          <w:sz w:val="22"/>
          <w:szCs w:val="22"/>
        </w:rPr>
        <w:t>Continue to p</w:t>
      </w:r>
      <w:r w:rsidRPr="006C3469">
        <w:rPr>
          <w:rFonts w:ascii="Arial" w:hAnsi="Arial" w:cs="Arial"/>
          <w:sz w:val="22"/>
          <w:szCs w:val="22"/>
        </w:rPr>
        <w:t>ilot a bushfire safety community development strategy.</w:t>
      </w:r>
    </w:p>
    <w:p w:rsidR="00175F5C" w:rsidRPr="00D026B9" w:rsidRDefault="00175F5C" w:rsidP="00175F5C">
      <w:pPr>
        <w:numPr>
          <w:ilvl w:val="1"/>
          <w:numId w:val="16"/>
        </w:numPr>
        <w:tabs>
          <w:tab w:val="clear" w:pos="1440"/>
          <w:tab w:val="num" w:pos="540"/>
        </w:tabs>
        <w:spacing w:before="240" w:after="240"/>
        <w:ind w:left="539" w:hanging="539"/>
        <w:jc w:val="both"/>
        <w:rPr>
          <w:sz w:val="22"/>
          <w:szCs w:val="22"/>
        </w:rPr>
      </w:pPr>
      <w:r>
        <w:rPr>
          <w:rFonts w:ascii="Arial" w:hAnsi="Arial" w:cs="Arial"/>
          <w:sz w:val="22"/>
          <w:szCs w:val="22"/>
        </w:rPr>
        <w:t>Support the development of Community Protection Plans for communities at risk from bushfire.</w:t>
      </w:r>
    </w:p>
    <w:p w:rsidR="00175F5C" w:rsidRPr="006C3469" w:rsidRDefault="00175F5C" w:rsidP="00175F5C">
      <w:pPr>
        <w:numPr>
          <w:ilvl w:val="1"/>
          <w:numId w:val="16"/>
        </w:numPr>
        <w:tabs>
          <w:tab w:val="clear" w:pos="1440"/>
          <w:tab w:val="num" w:pos="540"/>
        </w:tabs>
        <w:spacing w:before="240" w:after="240"/>
        <w:ind w:left="539" w:hanging="539"/>
        <w:jc w:val="both"/>
        <w:rPr>
          <w:sz w:val="22"/>
          <w:szCs w:val="22"/>
        </w:rPr>
      </w:pPr>
      <w:r>
        <w:rPr>
          <w:rFonts w:ascii="Arial" w:hAnsi="Arial" w:cs="Arial"/>
          <w:sz w:val="22"/>
          <w:szCs w:val="22"/>
        </w:rPr>
        <w:t>Continue to implement and evaluate the 2011 to 2013 home fire safety campaign.</w:t>
      </w:r>
    </w:p>
    <w:p w:rsidR="00175F5C" w:rsidRPr="006C3469" w:rsidRDefault="00175F5C" w:rsidP="00175F5C">
      <w:pPr>
        <w:numPr>
          <w:ilvl w:val="1"/>
          <w:numId w:val="16"/>
        </w:numPr>
        <w:tabs>
          <w:tab w:val="clear" w:pos="1440"/>
          <w:tab w:val="num" w:pos="540"/>
        </w:tabs>
        <w:spacing w:before="240" w:after="240"/>
        <w:ind w:left="539" w:hanging="539"/>
        <w:jc w:val="both"/>
        <w:rPr>
          <w:sz w:val="22"/>
          <w:szCs w:val="22"/>
        </w:rPr>
      </w:pPr>
      <w:r>
        <w:rPr>
          <w:rFonts w:ascii="Arial" w:hAnsi="Arial" w:cs="Arial"/>
          <w:sz w:val="22"/>
          <w:szCs w:val="22"/>
        </w:rPr>
        <w:t>Develop and trial a range of</w:t>
      </w:r>
      <w:r w:rsidRPr="006C3469">
        <w:rPr>
          <w:rFonts w:ascii="Arial" w:hAnsi="Arial" w:cs="Arial"/>
          <w:sz w:val="22"/>
          <w:szCs w:val="22"/>
        </w:rPr>
        <w:t xml:space="preserve"> evidence-based </w:t>
      </w:r>
      <w:r>
        <w:rPr>
          <w:rFonts w:ascii="Arial" w:hAnsi="Arial" w:cs="Arial"/>
          <w:sz w:val="22"/>
          <w:szCs w:val="22"/>
        </w:rPr>
        <w:t xml:space="preserve">collaborative </w:t>
      </w:r>
      <w:r w:rsidRPr="006C3469">
        <w:rPr>
          <w:rFonts w:ascii="Arial" w:hAnsi="Arial" w:cs="Arial"/>
          <w:sz w:val="22"/>
          <w:szCs w:val="22"/>
        </w:rPr>
        <w:t>strategies to improve home fire safety for elderly people</w:t>
      </w:r>
      <w:r>
        <w:rPr>
          <w:rFonts w:ascii="Arial" w:hAnsi="Arial" w:cs="Arial"/>
          <w:sz w:val="22"/>
          <w:szCs w:val="22"/>
        </w:rPr>
        <w:t>,</w:t>
      </w:r>
      <w:r w:rsidRPr="006C3469">
        <w:rPr>
          <w:rFonts w:ascii="Arial" w:hAnsi="Arial" w:cs="Arial"/>
          <w:sz w:val="22"/>
          <w:szCs w:val="22"/>
        </w:rPr>
        <w:t xml:space="preserve"> people with disabilities</w:t>
      </w:r>
      <w:r>
        <w:rPr>
          <w:rFonts w:ascii="Arial" w:hAnsi="Arial" w:cs="Arial"/>
          <w:sz w:val="22"/>
          <w:szCs w:val="22"/>
        </w:rPr>
        <w:t xml:space="preserve"> and other identified high risk groups</w:t>
      </w:r>
      <w:r w:rsidRPr="006C3469">
        <w:rPr>
          <w:rFonts w:ascii="Arial" w:hAnsi="Arial" w:cs="Arial"/>
          <w:sz w:val="22"/>
          <w:szCs w:val="22"/>
        </w:rPr>
        <w:t>.</w:t>
      </w:r>
    </w:p>
    <w:p w:rsidR="00175F5C" w:rsidRDefault="00175F5C" w:rsidP="00175F5C">
      <w:pPr>
        <w:numPr>
          <w:ilvl w:val="1"/>
          <w:numId w:val="16"/>
        </w:numPr>
        <w:tabs>
          <w:tab w:val="clear" w:pos="1440"/>
          <w:tab w:val="num" w:pos="540"/>
        </w:tabs>
        <w:spacing w:before="240" w:after="240"/>
        <w:ind w:left="539" w:hanging="539"/>
        <w:jc w:val="both"/>
        <w:rPr>
          <w:rFonts w:ascii="Arial" w:hAnsi="Arial" w:cs="Arial"/>
          <w:sz w:val="22"/>
          <w:szCs w:val="22"/>
        </w:rPr>
      </w:pPr>
      <w:r>
        <w:rPr>
          <w:rFonts w:ascii="Arial" w:hAnsi="Arial" w:cs="Arial"/>
          <w:sz w:val="22"/>
          <w:szCs w:val="22"/>
        </w:rPr>
        <w:t xml:space="preserve">Trial inspection and reporting under the </w:t>
      </w:r>
      <w:r w:rsidRPr="00D026B9">
        <w:rPr>
          <w:rFonts w:ascii="Arial" w:hAnsi="Arial" w:cs="Arial"/>
          <w:i/>
          <w:sz w:val="22"/>
          <w:szCs w:val="22"/>
        </w:rPr>
        <w:t>Building Act 200</w:t>
      </w:r>
      <w:r>
        <w:rPr>
          <w:rFonts w:ascii="Arial" w:hAnsi="Arial" w:cs="Arial"/>
          <w:i/>
          <w:sz w:val="22"/>
          <w:szCs w:val="22"/>
        </w:rPr>
        <w:t xml:space="preserve">0 </w:t>
      </w:r>
      <w:r>
        <w:rPr>
          <w:rFonts w:ascii="Arial" w:hAnsi="Arial" w:cs="Arial"/>
          <w:sz w:val="22"/>
          <w:szCs w:val="22"/>
        </w:rPr>
        <w:t>on fire safety features and measures in buildings</w:t>
      </w:r>
      <w:r>
        <w:rPr>
          <w:rFonts w:ascii="Arial" w:hAnsi="Arial" w:cs="Arial"/>
          <w:i/>
          <w:sz w:val="22"/>
          <w:szCs w:val="22"/>
        </w:rPr>
        <w:t>.</w:t>
      </w:r>
    </w:p>
    <w:p w:rsidR="00BC3908" w:rsidRPr="00BC3908" w:rsidRDefault="00175F5C" w:rsidP="00175F5C">
      <w:pPr>
        <w:pStyle w:val="BodyText2"/>
        <w:keepNext w:val="0"/>
        <w:numPr>
          <w:ilvl w:val="1"/>
          <w:numId w:val="16"/>
        </w:numPr>
        <w:tabs>
          <w:tab w:val="clear" w:pos="1440"/>
          <w:tab w:val="num" w:pos="540"/>
        </w:tabs>
        <w:spacing w:before="240"/>
        <w:ind w:left="539" w:hanging="539"/>
        <w:rPr>
          <w:sz w:val="22"/>
          <w:szCs w:val="22"/>
        </w:rPr>
      </w:pPr>
      <w:r>
        <w:rPr>
          <w:rFonts w:ascii="Arial" w:hAnsi="Arial" w:cs="Arial"/>
          <w:sz w:val="22"/>
          <w:szCs w:val="22"/>
        </w:rPr>
        <w:t xml:space="preserve">Inform the community of its obligations under the </w:t>
      </w:r>
      <w:r w:rsidRPr="003468B5">
        <w:rPr>
          <w:rFonts w:ascii="Arial" w:hAnsi="Arial" w:cs="Arial"/>
          <w:i/>
          <w:sz w:val="22"/>
          <w:szCs w:val="22"/>
        </w:rPr>
        <w:t>G</w:t>
      </w:r>
      <w:r>
        <w:rPr>
          <w:rFonts w:ascii="Arial" w:hAnsi="Arial" w:cs="Arial"/>
          <w:i/>
          <w:sz w:val="22"/>
          <w:szCs w:val="22"/>
        </w:rPr>
        <w:t>eneral Fire Regulation</w:t>
      </w:r>
      <w:r w:rsidRPr="003468B5">
        <w:rPr>
          <w:rFonts w:ascii="Arial" w:hAnsi="Arial" w:cs="Arial"/>
          <w:i/>
          <w:sz w:val="22"/>
          <w:szCs w:val="22"/>
        </w:rPr>
        <w:t>s 2010</w:t>
      </w:r>
      <w:r>
        <w:rPr>
          <w:rFonts w:ascii="Arial" w:hAnsi="Arial" w:cs="Arial"/>
          <w:sz w:val="22"/>
          <w:szCs w:val="22"/>
        </w:rPr>
        <w:t>.</w:t>
      </w:r>
      <w:r w:rsidR="00D33D76">
        <w:rPr>
          <w:rFonts w:ascii="Arial" w:hAnsi="Arial" w:cs="Arial"/>
          <w:sz w:val="22"/>
          <w:szCs w:val="22"/>
        </w:rPr>
        <w:t xml:space="preserve">  </w:t>
      </w:r>
    </w:p>
    <w:p w:rsidR="00175F5C" w:rsidRPr="00D026B9" w:rsidRDefault="00175F5C" w:rsidP="00175F5C">
      <w:pPr>
        <w:pStyle w:val="BodyText2"/>
        <w:keepNext w:val="0"/>
        <w:numPr>
          <w:ilvl w:val="1"/>
          <w:numId w:val="16"/>
        </w:numPr>
        <w:tabs>
          <w:tab w:val="clear" w:pos="1440"/>
          <w:tab w:val="num" w:pos="540"/>
        </w:tabs>
        <w:spacing w:before="240"/>
        <w:ind w:left="539" w:hanging="539"/>
        <w:rPr>
          <w:sz w:val="22"/>
          <w:szCs w:val="22"/>
        </w:rPr>
      </w:pPr>
      <w:r w:rsidRPr="006C3469">
        <w:rPr>
          <w:rFonts w:ascii="Arial" w:hAnsi="Arial" w:cs="Arial"/>
          <w:sz w:val="22"/>
          <w:szCs w:val="22"/>
        </w:rPr>
        <w:t xml:space="preserve">Implement </w:t>
      </w:r>
      <w:r>
        <w:rPr>
          <w:rFonts w:ascii="Arial" w:hAnsi="Arial" w:cs="Arial"/>
          <w:sz w:val="22"/>
          <w:szCs w:val="22"/>
        </w:rPr>
        <w:t xml:space="preserve">an </w:t>
      </w:r>
      <w:r w:rsidRPr="006C3469">
        <w:rPr>
          <w:rFonts w:ascii="Arial" w:hAnsi="Arial" w:cs="Arial"/>
          <w:sz w:val="22"/>
          <w:szCs w:val="22"/>
        </w:rPr>
        <w:t>electronic business management and contract management system for TasFire Equipment.</w:t>
      </w:r>
    </w:p>
    <w:p w:rsidR="00175F5C" w:rsidRPr="00D026B9" w:rsidRDefault="00175F5C" w:rsidP="00175F5C">
      <w:pPr>
        <w:pStyle w:val="BodyText2"/>
        <w:keepNext w:val="0"/>
        <w:numPr>
          <w:ilvl w:val="1"/>
          <w:numId w:val="16"/>
        </w:numPr>
        <w:tabs>
          <w:tab w:val="clear" w:pos="1440"/>
          <w:tab w:val="num" w:pos="540"/>
        </w:tabs>
        <w:spacing w:before="240"/>
        <w:ind w:left="539" w:hanging="539"/>
        <w:rPr>
          <w:sz w:val="22"/>
          <w:szCs w:val="22"/>
        </w:rPr>
      </w:pPr>
      <w:r>
        <w:rPr>
          <w:rFonts w:ascii="Arial" w:hAnsi="Arial" w:cs="Arial"/>
          <w:sz w:val="22"/>
          <w:szCs w:val="22"/>
        </w:rPr>
        <w:t>Continue to implement opportunities to maintain TasFire Equipment’s market position.</w:t>
      </w:r>
    </w:p>
    <w:p w:rsidR="00D03499" w:rsidRDefault="00175F5C">
      <w:pPr>
        <w:pStyle w:val="BodyText2"/>
        <w:keepNext w:val="0"/>
        <w:keepLines w:val="0"/>
        <w:numPr>
          <w:ilvl w:val="0"/>
          <w:numId w:val="20"/>
        </w:numPr>
        <w:tabs>
          <w:tab w:val="clear" w:pos="266"/>
          <w:tab w:val="num" w:pos="567"/>
        </w:tabs>
        <w:ind w:left="0" w:firstLine="0"/>
        <w:jc w:val="left"/>
        <w:rPr>
          <w:rFonts w:ascii="Arial" w:hAnsi="Arial" w:cs="Arial"/>
          <w:sz w:val="22"/>
          <w:szCs w:val="22"/>
        </w:rPr>
      </w:pPr>
      <w:r>
        <w:rPr>
          <w:rFonts w:ascii="Arial" w:hAnsi="Arial" w:cs="Arial"/>
          <w:sz w:val="22"/>
          <w:szCs w:val="22"/>
        </w:rPr>
        <w:t>Continue to</w:t>
      </w:r>
      <w:r w:rsidRPr="00127EAE">
        <w:rPr>
          <w:rFonts w:ascii="Arial" w:hAnsi="Arial" w:cs="Arial"/>
          <w:sz w:val="22"/>
          <w:szCs w:val="22"/>
        </w:rPr>
        <w:t xml:space="preserve"> implement opportunities to maintain TasFire Training’s market position.</w:t>
      </w:r>
    </w:p>
    <w:p w:rsidR="00D03499" w:rsidRDefault="00D03499">
      <w:pPr>
        <w:rPr>
          <w:rFonts w:ascii="Arial" w:hAnsi="Arial" w:cs="Arial"/>
          <w:sz w:val="22"/>
          <w:szCs w:val="22"/>
        </w:rPr>
      </w:pPr>
    </w:p>
    <w:p w:rsidR="0099324F" w:rsidRPr="00D03499" w:rsidRDefault="007F6A69" w:rsidP="00D03499">
      <w:pPr>
        <w:pStyle w:val="BodyText2"/>
        <w:keepNext w:val="0"/>
        <w:keepLines w:val="0"/>
        <w:jc w:val="left"/>
        <w:rPr>
          <w:rFonts w:ascii="Arial" w:hAnsi="Arial" w:cs="Arial"/>
          <w:b/>
          <w:sz w:val="22"/>
          <w:szCs w:val="22"/>
        </w:rPr>
      </w:pPr>
      <w:r w:rsidRPr="00D03499">
        <w:rPr>
          <w:rFonts w:ascii="Arial" w:hAnsi="Arial" w:cs="Arial"/>
          <w:b/>
          <w:sz w:val="22"/>
          <w:szCs w:val="22"/>
        </w:rPr>
        <w:t>KEY RESULT AREA 2</w:t>
      </w:r>
    </w:p>
    <w:p w:rsidR="002D594C" w:rsidRDefault="002D594C" w:rsidP="002D594C">
      <w:pPr>
        <w:pStyle w:val="Heading1"/>
        <w:spacing w:before="360" w:after="480"/>
        <w:jc w:val="center"/>
        <w:rPr>
          <w:rFonts w:ascii="Arial" w:hAnsi="Arial" w:cs="Arial"/>
          <w:i/>
          <w:iCs/>
          <w:sz w:val="22"/>
          <w:szCs w:val="22"/>
        </w:rPr>
      </w:pPr>
      <w:bookmarkStart w:id="24" w:name="_Toc225760799"/>
      <w:bookmarkStart w:id="25" w:name="_Toc288225435"/>
      <w:r>
        <w:rPr>
          <w:rFonts w:ascii="Arial" w:hAnsi="Arial" w:cs="Arial"/>
          <w:i/>
          <w:iCs/>
          <w:sz w:val="22"/>
          <w:szCs w:val="22"/>
        </w:rPr>
        <w:t>EMERGENCY RESPONSE</w:t>
      </w:r>
      <w:bookmarkEnd w:id="24"/>
      <w:bookmarkEnd w:id="25"/>
    </w:p>
    <w:p w:rsidR="002D594C" w:rsidRDefault="002D594C" w:rsidP="002D594C">
      <w:pPr>
        <w:pStyle w:val="Heading7"/>
        <w:spacing w:before="240" w:after="240"/>
        <w:rPr>
          <w:rFonts w:ascii="Arial" w:eastAsiaTheme="minorHAnsi" w:hAnsi="Arial" w:cs="Arial"/>
          <w:sz w:val="22"/>
          <w:szCs w:val="22"/>
          <w:lang w:val="en-US"/>
        </w:rPr>
      </w:pPr>
      <w:r>
        <w:rPr>
          <w:rFonts w:ascii="Arial" w:hAnsi="Arial" w:cs="Arial"/>
          <w:sz w:val="22"/>
          <w:szCs w:val="22"/>
          <w:lang w:val="en-US"/>
        </w:rPr>
        <w:t>GOAL STATEMENT:</w:t>
      </w:r>
    </w:p>
    <w:p w:rsidR="002D594C" w:rsidRPr="000D2782" w:rsidRDefault="002D594C" w:rsidP="002D594C">
      <w:pPr>
        <w:rPr>
          <w:rFonts w:ascii="Arial" w:hAnsi="Arial" w:cs="Arial"/>
          <w:sz w:val="22"/>
          <w:szCs w:val="22"/>
        </w:rPr>
      </w:pPr>
      <w:r w:rsidRPr="000D2782">
        <w:rPr>
          <w:rFonts w:ascii="Arial" w:hAnsi="Arial" w:cs="Arial"/>
          <w:sz w:val="22"/>
          <w:szCs w:val="22"/>
        </w:rPr>
        <w:t>To respond to and manage fire and other emergencies efficiently and effectivel</w:t>
      </w:r>
      <w:r w:rsidR="00C01321" w:rsidRPr="000D2782">
        <w:rPr>
          <w:rFonts w:ascii="Arial" w:hAnsi="Arial" w:cs="Arial"/>
          <w:sz w:val="22"/>
          <w:szCs w:val="22"/>
        </w:rPr>
        <w:t>y.</w:t>
      </w:r>
    </w:p>
    <w:p w:rsidR="002D594C" w:rsidRDefault="002D594C" w:rsidP="002D594C">
      <w:pPr>
        <w:pStyle w:val="BodyText3"/>
        <w:spacing w:before="240" w:after="240"/>
        <w:rPr>
          <w:rFonts w:ascii="Arial" w:hAnsi="Arial" w:cs="Arial"/>
          <w:sz w:val="22"/>
          <w:szCs w:val="22"/>
          <w:lang w:val="en-US"/>
        </w:rPr>
      </w:pPr>
      <w:r>
        <w:rPr>
          <w:rFonts w:ascii="Arial" w:hAnsi="Arial" w:cs="Arial"/>
          <w:sz w:val="22"/>
          <w:szCs w:val="22"/>
          <w:lang w:val="en-US"/>
        </w:rPr>
        <w:t>OBJECTIVES:</w:t>
      </w:r>
    </w:p>
    <w:p w:rsidR="0099324F" w:rsidRPr="000D2782" w:rsidRDefault="002D594C">
      <w:pPr>
        <w:numPr>
          <w:ilvl w:val="0"/>
          <w:numId w:val="21"/>
        </w:numPr>
        <w:tabs>
          <w:tab w:val="clear" w:pos="360"/>
        </w:tabs>
        <w:spacing w:after="180"/>
        <w:ind w:left="539" w:hanging="539"/>
        <w:jc w:val="both"/>
        <w:rPr>
          <w:rFonts w:ascii="Arial" w:hAnsi="Arial" w:cs="Arial"/>
          <w:b/>
          <w:bCs/>
          <w:sz w:val="22"/>
          <w:szCs w:val="22"/>
        </w:rPr>
      </w:pPr>
      <w:r w:rsidRPr="000D2782">
        <w:rPr>
          <w:rFonts w:ascii="Arial" w:hAnsi="Arial" w:cs="Arial"/>
          <w:b/>
          <w:bCs/>
          <w:sz w:val="22"/>
          <w:szCs w:val="22"/>
        </w:rPr>
        <w:t xml:space="preserve">To maintain the capability of brigades to safely and effectively understand and manage their emergency risks. </w:t>
      </w:r>
    </w:p>
    <w:p w:rsidR="0099324F" w:rsidRPr="000D2782" w:rsidRDefault="002D594C">
      <w:pPr>
        <w:numPr>
          <w:ilvl w:val="0"/>
          <w:numId w:val="21"/>
        </w:numPr>
        <w:tabs>
          <w:tab w:val="clear" w:pos="360"/>
        </w:tabs>
        <w:spacing w:after="180"/>
        <w:ind w:left="539" w:hanging="539"/>
        <w:jc w:val="both"/>
        <w:rPr>
          <w:rFonts w:ascii="Arial" w:hAnsi="Arial" w:cs="Arial"/>
          <w:b/>
          <w:bCs/>
          <w:sz w:val="22"/>
          <w:szCs w:val="22"/>
        </w:rPr>
      </w:pPr>
      <w:r w:rsidRPr="000D2782">
        <w:rPr>
          <w:rFonts w:ascii="Arial" w:hAnsi="Arial" w:cs="Arial"/>
          <w:b/>
          <w:bCs/>
          <w:sz w:val="22"/>
          <w:szCs w:val="22"/>
        </w:rPr>
        <w:t>To provide a timely response to emergencies with appropriate resources</w:t>
      </w:r>
      <w:r w:rsidR="002A67D3" w:rsidRPr="000D2782">
        <w:rPr>
          <w:rFonts w:ascii="Arial" w:hAnsi="Arial" w:cs="Arial"/>
          <w:b/>
          <w:bCs/>
          <w:sz w:val="22"/>
          <w:szCs w:val="22"/>
        </w:rPr>
        <w:t xml:space="preserve"> </w:t>
      </w:r>
      <w:r w:rsidRPr="000D2782">
        <w:rPr>
          <w:rFonts w:ascii="Arial" w:hAnsi="Arial" w:cs="Arial"/>
          <w:b/>
          <w:bCs/>
          <w:sz w:val="22"/>
          <w:szCs w:val="22"/>
        </w:rPr>
        <w:t xml:space="preserve">that results in positive outcomes. </w:t>
      </w:r>
    </w:p>
    <w:p w:rsidR="002D594C" w:rsidRPr="000D2782" w:rsidRDefault="002D594C" w:rsidP="00C01321">
      <w:pPr>
        <w:numPr>
          <w:ilvl w:val="0"/>
          <w:numId w:val="21"/>
        </w:numPr>
        <w:tabs>
          <w:tab w:val="clear" w:pos="360"/>
        </w:tabs>
        <w:spacing w:after="180"/>
        <w:ind w:left="539" w:hanging="539"/>
        <w:jc w:val="both"/>
        <w:rPr>
          <w:rFonts w:ascii="Arial" w:hAnsi="Arial" w:cs="Arial"/>
          <w:b/>
          <w:bCs/>
          <w:sz w:val="22"/>
          <w:szCs w:val="22"/>
        </w:rPr>
      </w:pPr>
      <w:r w:rsidRPr="000D2782">
        <w:rPr>
          <w:rFonts w:ascii="Arial" w:hAnsi="Arial" w:cs="Arial"/>
          <w:b/>
          <w:bCs/>
          <w:sz w:val="22"/>
          <w:szCs w:val="22"/>
        </w:rPr>
        <w:t xml:space="preserve">To continually seek to improve our emergency response performance. </w:t>
      </w:r>
    </w:p>
    <w:p w:rsidR="002D594C" w:rsidRPr="000D2782" w:rsidRDefault="002D594C" w:rsidP="00C01321">
      <w:pPr>
        <w:numPr>
          <w:ilvl w:val="0"/>
          <w:numId w:val="21"/>
        </w:numPr>
        <w:tabs>
          <w:tab w:val="clear" w:pos="360"/>
        </w:tabs>
        <w:spacing w:after="180"/>
        <w:ind w:left="539" w:hanging="539"/>
        <w:jc w:val="both"/>
        <w:rPr>
          <w:rFonts w:ascii="Arial" w:hAnsi="Arial" w:cs="Arial"/>
          <w:b/>
          <w:bCs/>
          <w:sz w:val="22"/>
          <w:szCs w:val="22"/>
        </w:rPr>
      </w:pPr>
      <w:r w:rsidRPr="000D2782">
        <w:rPr>
          <w:rFonts w:ascii="Arial" w:hAnsi="Arial" w:cs="Arial"/>
          <w:b/>
          <w:bCs/>
          <w:sz w:val="22"/>
          <w:szCs w:val="22"/>
        </w:rPr>
        <w:t>To foster the establishment and maintenance of emergency management arrangements between the TFS, other organisations and the community.</w:t>
      </w:r>
    </w:p>
    <w:p w:rsidR="002D594C" w:rsidRPr="000D2782" w:rsidRDefault="002D594C" w:rsidP="00C01321">
      <w:pPr>
        <w:numPr>
          <w:ilvl w:val="0"/>
          <w:numId w:val="21"/>
        </w:numPr>
        <w:tabs>
          <w:tab w:val="clear" w:pos="360"/>
        </w:tabs>
        <w:spacing w:after="240"/>
        <w:ind w:left="539" w:hanging="539"/>
        <w:jc w:val="both"/>
        <w:rPr>
          <w:rFonts w:ascii="Arial" w:hAnsi="Arial" w:cs="Arial"/>
          <w:b/>
          <w:bCs/>
          <w:sz w:val="22"/>
          <w:szCs w:val="22"/>
        </w:rPr>
      </w:pPr>
      <w:r w:rsidRPr="000D2782">
        <w:rPr>
          <w:rFonts w:ascii="Arial" w:hAnsi="Arial" w:cs="Arial"/>
          <w:b/>
          <w:bCs/>
          <w:sz w:val="22"/>
          <w:szCs w:val="22"/>
        </w:rPr>
        <w:t>To influence the community to respond safely during emergencies.</w:t>
      </w:r>
    </w:p>
    <w:p w:rsidR="002D594C" w:rsidRDefault="002D594C" w:rsidP="00C01321">
      <w:pPr>
        <w:pStyle w:val="BodyText"/>
        <w:keepNext w:val="0"/>
        <w:spacing w:before="240" w:after="120"/>
        <w:rPr>
          <w:rFonts w:ascii="Arial" w:hAnsi="Arial" w:cs="Arial"/>
          <w:b/>
          <w:bCs/>
          <w:sz w:val="22"/>
          <w:szCs w:val="22"/>
        </w:rPr>
      </w:pPr>
      <w:r>
        <w:rPr>
          <w:rFonts w:ascii="Arial" w:hAnsi="Arial" w:cs="Arial"/>
          <w:b/>
          <w:bCs/>
          <w:sz w:val="22"/>
          <w:szCs w:val="22"/>
        </w:rPr>
        <w:t>Key Performance Indicators:</w:t>
      </w:r>
    </w:p>
    <w:p w:rsidR="002D594C" w:rsidRPr="00D03499" w:rsidRDefault="002D594C" w:rsidP="00C01321">
      <w:pPr>
        <w:pStyle w:val="BodyText2"/>
        <w:keepNext w:val="0"/>
        <w:keepLines w:val="0"/>
        <w:numPr>
          <w:ilvl w:val="0"/>
          <w:numId w:val="20"/>
        </w:numPr>
        <w:tabs>
          <w:tab w:val="clear" w:pos="266"/>
        </w:tabs>
        <w:spacing w:after="120"/>
        <w:ind w:left="539" w:hanging="539"/>
        <w:rPr>
          <w:rFonts w:ascii="Arial" w:hAnsi="Arial" w:cs="Arial"/>
          <w:sz w:val="22"/>
          <w:szCs w:val="22"/>
        </w:rPr>
      </w:pPr>
      <w:r>
        <w:rPr>
          <w:rFonts w:ascii="Arial" w:hAnsi="Arial" w:cs="Arial"/>
          <w:sz w:val="22"/>
          <w:szCs w:val="22"/>
        </w:rPr>
        <w:t xml:space="preserve">Response times of brigades to </w:t>
      </w:r>
      <w:r w:rsidRPr="00D03499">
        <w:rPr>
          <w:rFonts w:ascii="Arial" w:hAnsi="Arial" w:cs="Arial"/>
          <w:sz w:val="22"/>
          <w:szCs w:val="22"/>
        </w:rPr>
        <w:t>incidents, where time is a crucial factor to outcomes.</w:t>
      </w:r>
    </w:p>
    <w:p w:rsidR="002D594C" w:rsidRDefault="002D594C" w:rsidP="00C01321">
      <w:pPr>
        <w:pStyle w:val="BodyText2"/>
        <w:keepNext w:val="0"/>
        <w:keepLines w:val="0"/>
        <w:numPr>
          <w:ilvl w:val="0"/>
          <w:numId w:val="20"/>
        </w:numPr>
        <w:tabs>
          <w:tab w:val="clear" w:pos="266"/>
        </w:tabs>
        <w:spacing w:after="120"/>
        <w:ind w:left="539" w:hanging="539"/>
        <w:rPr>
          <w:rFonts w:ascii="Arial" w:hAnsi="Arial" w:cs="Arial"/>
          <w:sz w:val="22"/>
          <w:szCs w:val="22"/>
        </w:rPr>
      </w:pPr>
      <w:r>
        <w:rPr>
          <w:rFonts w:ascii="Arial" w:hAnsi="Arial" w:cs="Arial"/>
          <w:sz w:val="22"/>
          <w:szCs w:val="22"/>
        </w:rPr>
        <w:t>Percentage of brigades capable of managing their community risk.</w:t>
      </w:r>
    </w:p>
    <w:p w:rsidR="002D594C" w:rsidRDefault="002D594C" w:rsidP="00C01321">
      <w:pPr>
        <w:pStyle w:val="BodyText2"/>
        <w:keepNext w:val="0"/>
        <w:keepLines w:val="0"/>
        <w:numPr>
          <w:ilvl w:val="0"/>
          <w:numId w:val="20"/>
        </w:numPr>
        <w:tabs>
          <w:tab w:val="clear" w:pos="266"/>
        </w:tabs>
        <w:spacing w:after="120"/>
        <w:ind w:left="539" w:hanging="539"/>
        <w:rPr>
          <w:rFonts w:ascii="Arial" w:hAnsi="Arial" w:cs="Arial"/>
          <w:sz w:val="22"/>
          <w:szCs w:val="22"/>
        </w:rPr>
      </w:pPr>
      <w:r>
        <w:rPr>
          <w:rFonts w:ascii="Arial" w:hAnsi="Arial" w:cs="Arial"/>
          <w:sz w:val="22"/>
          <w:szCs w:val="22"/>
        </w:rPr>
        <w:t>Percentage of structural fires confined to room of origin.</w:t>
      </w:r>
    </w:p>
    <w:p w:rsidR="002D594C" w:rsidRDefault="002D594C" w:rsidP="00C01321">
      <w:pPr>
        <w:pStyle w:val="BodyText2"/>
        <w:keepNext w:val="0"/>
        <w:keepLines w:val="0"/>
        <w:numPr>
          <w:ilvl w:val="0"/>
          <w:numId w:val="20"/>
        </w:numPr>
        <w:tabs>
          <w:tab w:val="clear" w:pos="266"/>
        </w:tabs>
        <w:spacing w:after="120"/>
        <w:ind w:left="539" w:hanging="539"/>
        <w:rPr>
          <w:rFonts w:ascii="Arial" w:hAnsi="Arial" w:cs="Arial"/>
          <w:sz w:val="22"/>
          <w:szCs w:val="22"/>
        </w:rPr>
      </w:pPr>
      <w:r>
        <w:rPr>
          <w:rFonts w:ascii="Arial" w:hAnsi="Arial" w:cs="Arial"/>
          <w:sz w:val="22"/>
          <w:szCs w:val="22"/>
        </w:rPr>
        <w:t>Percentage of volunteer firefighters with basic skills.</w:t>
      </w:r>
    </w:p>
    <w:p w:rsidR="002D594C" w:rsidRDefault="002D594C" w:rsidP="00C01321">
      <w:pPr>
        <w:pStyle w:val="BodyText2"/>
        <w:keepNext w:val="0"/>
        <w:keepLines w:val="0"/>
        <w:numPr>
          <w:ilvl w:val="0"/>
          <w:numId w:val="20"/>
        </w:numPr>
        <w:tabs>
          <w:tab w:val="clear" w:pos="266"/>
        </w:tabs>
        <w:spacing w:after="120"/>
        <w:ind w:left="539" w:hanging="539"/>
        <w:rPr>
          <w:rFonts w:ascii="Arial" w:hAnsi="Arial" w:cs="Arial"/>
          <w:sz w:val="22"/>
          <w:szCs w:val="22"/>
        </w:rPr>
      </w:pPr>
      <w:r>
        <w:rPr>
          <w:rFonts w:ascii="Arial" w:hAnsi="Arial" w:cs="Arial"/>
          <w:sz w:val="22"/>
          <w:szCs w:val="22"/>
        </w:rPr>
        <w:t>Percentage of fires with undetermined causes.</w:t>
      </w:r>
    </w:p>
    <w:p w:rsidR="002D594C" w:rsidRDefault="002D594C" w:rsidP="00C01321">
      <w:pPr>
        <w:pStyle w:val="BodyText2"/>
        <w:keepNext w:val="0"/>
        <w:keepLines w:val="0"/>
        <w:numPr>
          <w:ilvl w:val="0"/>
          <w:numId w:val="20"/>
        </w:numPr>
        <w:tabs>
          <w:tab w:val="clear" w:pos="266"/>
        </w:tabs>
        <w:spacing w:after="120"/>
        <w:ind w:left="539" w:hanging="539"/>
        <w:rPr>
          <w:rFonts w:ascii="Arial" w:hAnsi="Arial" w:cs="Arial"/>
          <w:sz w:val="22"/>
          <w:szCs w:val="22"/>
        </w:rPr>
      </w:pPr>
      <w:r>
        <w:rPr>
          <w:rFonts w:ascii="Arial" w:hAnsi="Arial" w:cs="Arial"/>
          <w:sz w:val="22"/>
          <w:szCs w:val="22"/>
        </w:rPr>
        <w:t>False alarm rate (number of false alarms/number of monitored premises).</w:t>
      </w:r>
    </w:p>
    <w:p w:rsidR="002D594C" w:rsidRDefault="002D594C" w:rsidP="00C01321">
      <w:pPr>
        <w:pStyle w:val="Heading7"/>
        <w:spacing w:before="240" w:after="120"/>
        <w:rPr>
          <w:rFonts w:ascii="Arial" w:hAnsi="Arial" w:cs="Arial"/>
          <w:sz w:val="22"/>
          <w:szCs w:val="22"/>
          <w:lang w:val="en-US"/>
        </w:rPr>
      </w:pPr>
      <w:r>
        <w:rPr>
          <w:rFonts w:ascii="Arial" w:hAnsi="Arial" w:cs="Arial"/>
          <w:sz w:val="22"/>
          <w:szCs w:val="22"/>
          <w:lang w:val="en-US"/>
        </w:rPr>
        <w:t>Priorities for 2011-12:</w:t>
      </w:r>
    </w:p>
    <w:p w:rsidR="002D594C" w:rsidRDefault="002D594C" w:rsidP="00C01321">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Analyse and prioritise recommendations of reviews into FireComm, Emergency Response, Lessons Learnt, the Myer Coronial and Victorian fires and develop appropriate implementation strategies.</w:t>
      </w:r>
    </w:p>
    <w:p w:rsidR="002D594C" w:rsidRDefault="002D594C" w:rsidP="00C01321">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Develop a plan to implement the profiling of community risk.</w:t>
      </w:r>
    </w:p>
    <w:p w:rsidR="002D594C" w:rsidRDefault="002D594C" w:rsidP="00C01321">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Ensure the knowledge and skills of brigades and members are aligned with their respective community risk.</w:t>
      </w:r>
    </w:p>
    <w:p w:rsidR="002D594C" w:rsidRDefault="002D594C" w:rsidP="00C01321">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Develop and continually review a resource distribution model based on community risk.</w:t>
      </w:r>
    </w:p>
    <w:p w:rsidR="002D594C" w:rsidRDefault="002D594C" w:rsidP="00C01321">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 xml:space="preserve">Enhance fire fighter safety and operational decision making through the provision of spatial information (GIS/AVL) and incident data. </w:t>
      </w:r>
    </w:p>
    <w:p w:rsidR="002D594C" w:rsidRDefault="002D594C" w:rsidP="00C01321">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 xml:space="preserve">Continually review brigade assignment areas, mobilisation, and response times in consultation with stakeholders. </w:t>
      </w:r>
    </w:p>
    <w:p w:rsidR="002D594C" w:rsidRDefault="002D594C" w:rsidP="00C01321">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Develop communication strategies that inform and influence the community to act appropriately during emergencies.</w:t>
      </w:r>
    </w:p>
    <w:p w:rsidR="002D594C" w:rsidRDefault="002D594C" w:rsidP="00C01321">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 xml:space="preserve">Identify and action strategies to reduce unwanted alarms and unnecessary false calls. </w:t>
      </w:r>
    </w:p>
    <w:p w:rsidR="002D594C" w:rsidRDefault="002D594C" w:rsidP="00C01321">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 xml:space="preserve">Review, enhance and expand multi-agency emergency response, </w:t>
      </w:r>
      <w:r w:rsidRPr="00D03499">
        <w:rPr>
          <w:rFonts w:ascii="Arial" w:hAnsi="Arial" w:cs="Arial"/>
          <w:sz w:val="22"/>
          <w:szCs w:val="22"/>
        </w:rPr>
        <w:t>management and investigation a</w:t>
      </w:r>
      <w:r>
        <w:rPr>
          <w:rFonts w:ascii="Arial" w:hAnsi="Arial" w:cs="Arial"/>
          <w:sz w:val="22"/>
          <w:szCs w:val="22"/>
        </w:rPr>
        <w:t xml:space="preserve">rrangements. </w:t>
      </w:r>
    </w:p>
    <w:p w:rsidR="002D594C" w:rsidRDefault="002D594C" w:rsidP="00C01321">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 xml:space="preserve">Foster cooperative arrangements between TFS and other agencies to ensure the effective management </w:t>
      </w:r>
      <w:r w:rsidRPr="00D03499">
        <w:rPr>
          <w:rFonts w:ascii="Arial" w:hAnsi="Arial" w:cs="Arial"/>
          <w:sz w:val="22"/>
          <w:szCs w:val="22"/>
        </w:rPr>
        <w:t>and resolution o</w:t>
      </w:r>
      <w:r>
        <w:rPr>
          <w:rFonts w:ascii="Arial" w:hAnsi="Arial" w:cs="Arial"/>
          <w:sz w:val="22"/>
          <w:szCs w:val="22"/>
        </w:rPr>
        <w:t xml:space="preserve">f all emergency incidents under a common incident management system. </w:t>
      </w:r>
    </w:p>
    <w:p w:rsidR="0099324F" w:rsidRDefault="00035CF5" w:rsidP="000D2782">
      <w:pPr>
        <w:pStyle w:val="ListParagraph"/>
        <w:numPr>
          <w:ilvl w:val="0"/>
          <w:numId w:val="22"/>
        </w:numPr>
        <w:tabs>
          <w:tab w:val="clear" w:pos="720"/>
          <w:tab w:val="num" w:pos="567"/>
        </w:tabs>
        <w:ind w:hanging="720"/>
        <w:rPr>
          <w:rFonts w:ascii="Century Gothic" w:hAnsi="Century Gothic" w:cs="Calibri"/>
          <w:color w:val="1F497D"/>
          <w:sz w:val="22"/>
          <w:szCs w:val="22"/>
        </w:rPr>
      </w:pPr>
      <w:r w:rsidRPr="00035CF5">
        <w:rPr>
          <w:rFonts w:ascii="Arial" w:hAnsi="Arial" w:cs="Arial"/>
          <w:sz w:val="22"/>
          <w:szCs w:val="22"/>
        </w:rPr>
        <w:t>Review and further develop task force planning and deployment arrangements.</w:t>
      </w:r>
    </w:p>
    <w:p w:rsidR="00D03499" w:rsidRDefault="00D03499">
      <w:pPr>
        <w:rPr>
          <w:rFonts w:ascii="Arial" w:hAnsi="Arial" w:cs="Arial"/>
          <w:sz w:val="22"/>
          <w:szCs w:val="22"/>
        </w:rPr>
      </w:pPr>
      <w:r>
        <w:rPr>
          <w:rFonts w:ascii="Arial" w:hAnsi="Arial" w:cs="Arial"/>
          <w:sz w:val="22"/>
          <w:szCs w:val="22"/>
        </w:rPr>
        <w:br w:type="page"/>
      </w:r>
    </w:p>
    <w:bookmarkEnd w:id="22"/>
    <w:bookmarkEnd w:id="23"/>
    <w:p w:rsidR="00266D55" w:rsidRPr="00682FF2" w:rsidRDefault="00266D55" w:rsidP="00D03499">
      <w:pPr>
        <w:pStyle w:val="BodyText2"/>
        <w:keepNext w:val="0"/>
        <w:keepLines w:val="0"/>
        <w:ind w:left="539"/>
        <w:jc w:val="left"/>
        <w:rPr>
          <w:rFonts w:ascii="Arial" w:hAnsi="Arial" w:cs="Arial"/>
          <w:b/>
          <w:sz w:val="22"/>
          <w:szCs w:val="22"/>
        </w:rPr>
      </w:pPr>
      <w:r w:rsidRPr="00682FF2">
        <w:rPr>
          <w:rFonts w:ascii="Arial" w:hAnsi="Arial" w:cs="Arial"/>
          <w:b/>
          <w:sz w:val="22"/>
          <w:szCs w:val="22"/>
        </w:rPr>
        <w:t xml:space="preserve">KEY RESULT </w:t>
      </w:r>
      <w:smartTag w:uri="urn:schemas-microsoft-com:office:smarttags" w:element="stockticker">
        <w:r w:rsidRPr="00682FF2">
          <w:rPr>
            <w:rFonts w:ascii="Arial" w:hAnsi="Arial" w:cs="Arial"/>
            <w:b/>
            <w:sz w:val="22"/>
            <w:szCs w:val="22"/>
          </w:rPr>
          <w:t>AREA</w:t>
        </w:r>
      </w:smartTag>
      <w:r w:rsidRPr="00682FF2">
        <w:rPr>
          <w:rFonts w:ascii="Arial" w:hAnsi="Arial" w:cs="Arial"/>
          <w:b/>
          <w:sz w:val="22"/>
          <w:szCs w:val="22"/>
        </w:rPr>
        <w:t xml:space="preserve"> 3</w:t>
      </w:r>
    </w:p>
    <w:p w:rsidR="00266D55" w:rsidRPr="008047D6" w:rsidRDefault="00266D55" w:rsidP="00682FF2">
      <w:pPr>
        <w:pStyle w:val="Heading1"/>
        <w:spacing w:before="360" w:after="480"/>
        <w:jc w:val="center"/>
        <w:rPr>
          <w:rFonts w:ascii="Arial" w:hAnsi="Arial" w:cs="Arial"/>
          <w:bCs/>
          <w:i/>
          <w:sz w:val="22"/>
          <w:szCs w:val="22"/>
        </w:rPr>
      </w:pPr>
      <w:bookmarkStart w:id="26" w:name="_Toc288225436"/>
      <w:r w:rsidRPr="008047D6">
        <w:rPr>
          <w:rFonts w:ascii="Arial" w:hAnsi="Arial" w:cs="Arial"/>
          <w:bCs/>
          <w:i/>
          <w:sz w:val="22"/>
          <w:szCs w:val="22"/>
        </w:rPr>
        <w:t xml:space="preserve">OUR </w:t>
      </w:r>
      <w:r>
        <w:rPr>
          <w:rFonts w:ascii="Arial" w:hAnsi="Arial" w:cs="Arial"/>
          <w:bCs/>
          <w:i/>
          <w:sz w:val="22"/>
          <w:szCs w:val="22"/>
        </w:rPr>
        <w:t>ORGANISATION</w:t>
      </w:r>
      <w:bookmarkEnd w:id="26"/>
    </w:p>
    <w:p w:rsidR="00266D55" w:rsidRPr="008047D6" w:rsidRDefault="00266D55" w:rsidP="00682FF2">
      <w:pPr>
        <w:pStyle w:val="Heading7"/>
        <w:spacing w:before="240" w:after="240"/>
        <w:rPr>
          <w:rFonts w:ascii="Arial" w:hAnsi="Arial" w:cs="Arial"/>
          <w:sz w:val="22"/>
          <w:szCs w:val="22"/>
          <w:lang w:val="en-US"/>
        </w:rPr>
      </w:pPr>
      <w:r w:rsidRPr="008047D6">
        <w:rPr>
          <w:rFonts w:ascii="Arial" w:hAnsi="Arial" w:cs="Arial"/>
          <w:sz w:val="22"/>
          <w:szCs w:val="22"/>
          <w:lang w:val="en-US"/>
        </w:rPr>
        <w:t>GOAL STATEMENT:</w:t>
      </w:r>
    </w:p>
    <w:p w:rsidR="00266D55" w:rsidRPr="008047D6" w:rsidRDefault="00266D55" w:rsidP="00266D55">
      <w:pPr>
        <w:rPr>
          <w:rFonts w:ascii="Arial" w:hAnsi="Arial" w:cs="Arial"/>
          <w:sz w:val="22"/>
          <w:szCs w:val="22"/>
        </w:rPr>
      </w:pPr>
      <w:r>
        <w:rPr>
          <w:rFonts w:ascii="Arial" w:hAnsi="Arial" w:cs="Arial"/>
          <w:sz w:val="22"/>
          <w:szCs w:val="22"/>
        </w:rPr>
        <w:t xml:space="preserve">To ensure the organisation operates responsibly with regard to the community, our people and the environment.  </w:t>
      </w:r>
    </w:p>
    <w:p w:rsidR="00266D55" w:rsidRPr="008047D6" w:rsidRDefault="00266D55" w:rsidP="00682FF2">
      <w:pPr>
        <w:pStyle w:val="BodyText3"/>
        <w:keepNext w:val="0"/>
        <w:keepLines w:val="0"/>
        <w:spacing w:before="240" w:after="240"/>
        <w:rPr>
          <w:rFonts w:ascii="Arial" w:hAnsi="Arial" w:cs="Arial"/>
          <w:sz w:val="22"/>
          <w:szCs w:val="22"/>
          <w:lang w:val="en-US"/>
        </w:rPr>
      </w:pPr>
      <w:r w:rsidRPr="008047D6">
        <w:rPr>
          <w:rFonts w:ascii="Arial" w:hAnsi="Arial" w:cs="Arial"/>
          <w:sz w:val="22"/>
          <w:szCs w:val="22"/>
          <w:lang w:val="en-US"/>
        </w:rPr>
        <w:t>OBJECTIVES:</w:t>
      </w:r>
    </w:p>
    <w:p w:rsidR="00266D55" w:rsidRPr="008B3BC2" w:rsidRDefault="00266D55" w:rsidP="0083415A">
      <w:pPr>
        <w:numPr>
          <w:ilvl w:val="0"/>
          <w:numId w:val="15"/>
        </w:numPr>
        <w:tabs>
          <w:tab w:val="clear" w:pos="360"/>
          <w:tab w:val="num" w:pos="540"/>
        </w:tabs>
        <w:spacing w:after="240"/>
        <w:ind w:left="539" w:hanging="539"/>
        <w:jc w:val="both"/>
        <w:rPr>
          <w:rFonts w:ascii="Arial" w:hAnsi="Arial" w:cs="Arial"/>
          <w:b/>
          <w:sz w:val="22"/>
          <w:szCs w:val="22"/>
        </w:rPr>
      </w:pPr>
      <w:r w:rsidRPr="008B3BC2">
        <w:rPr>
          <w:rFonts w:ascii="Arial" w:hAnsi="Arial" w:cs="Arial"/>
          <w:b/>
          <w:sz w:val="22"/>
          <w:szCs w:val="22"/>
        </w:rPr>
        <w:t>To meet the corporate governance responsibilities of organisation management (including requirements of other legislation) to ensure that all compliance obligations are being met.</w:t>
      </w:r>
    </w:p>
    <w:p w:rsidR="00266D55" w:rsidRPr="008B3BC2" w:rsidRDefault="00266D55" w:rsidP="0083415A">
      <w:pPr>
        <w:numPr>
          <w:ilvl w:val="0"/>
          <w:numId w:val="15"/>
        </w:numPr>
        <w:tabs>
          <w:tab w:val="clear" w:pos="360"/>
          <w:tab w:val="num" w:pos="540"/>
        </w:tabs>
        <w:spacing w:after="240"/>
        <w:ind w:left="539" w:hanging="539"/>
        <w:jc w:val="both"/>
        <w:rPr>
          <w:rFonts w:ascii="Arial" w:hAnsi="Arial" w:cs="Arial"/>
          <w:b/>
          <w:sz w:val="22"/>
          <w:szCs w:val="22"/>
        </w:rPr>
      </w:pPr>
      <w:r w:rsidRPr="008B3BC2">
        <w:rPr>
          <w:rFonts w:ascii="Arial" w:hAnsi="Arial" w:cs="Arial"/>
          <w:b/>
          <w:sz w:val="22"/>
          <w:szCs w:val="22"/>
        </w:rPr>
        <w:t>To develop formal planni</w:t>
      </w:r>
      <w:r w:rsidR="00E12481">
        <w:rPr>
          <w:rFonts w:ascii="Arial" w:hAnsi="Arial" w:cs="Arial"/>
          <w:b/>
          <w:sz w:val="22"/>
          <w:szCs w:val="22"/>
        </w:rPr>
        <w:t xml:space="preserve">ng and reporting processes </w:t>
      </w:r>
      <w:r w:rsidR="0018734E">
        <w:rPr>
          <w:rFonts w:ascii="Arial" w:hAnsi="Arial" w:cs="Arial"/>
          <w:b/>
          <w:sz w:val="22"/>
          <w:szCs w:val="22"/>
        </w:rPr>
        <w:t xml:space="preserve">that </w:t>
      </w:r>
      <w:r w:rsidR="0018734E" w:rsidRPr="008B3BC2">
        <w:rPr>
          <w:rFonts w:ascii="Arial" w:hAnsi="Arial" w:cs="Arial"/>
          <w:b/>
          <w:sz w:val="22"/>
          <w:szCs w:val="22"/>
        </w:rPr>
        <w:t>aligns</w:t>
      </w:r>
      <w:r w:rsidRPr="008B3BC2">
        <w:rPr>
          <w:rFonts w:ascii="Arial" w:hAnsi="Arial" w:cs="Arial"/>
          <w:b/>
          <w:sz w:val="22"/>
          <w:szCs w:val="22"/>
        </w:rPr>
        <w:t xml:space="preserve"> unit outcomes with corporate objectives.</w:t>
      </w:r>
    </w:p>
    <w:p w:rsidR="00266D55" w:rsidRPr="008B3BC2" w:rsidRDefault="00266D55" w:rsidP="0083415A">
      <w:pPr>
        <w:numPr>
          <w:ilvl w:val="0"/>
          <w:numId w:val="15"/>
        </w:numPr>
        <w:tabs>
          <w:tab w:val="clear" w:pos="360"/>
          <w:tab w:val="num" w:pos="540"/>
        </w:tabs>
        <w:spacing w:after="240"/>
        <w:ind w:left="539" w:hanging="539"/>
        <w:jc w:val="both"/>
        <w:rPr>
          <w:rFonts w:ascii="Arial" w:hAnsi="Arial" w:cs="Arial"/>
          <w:b/>
          <w:sz w:val="22"/>
          <w:szCs w:val="22"/>
        </w:rPr>
      </w:pPr>
      <w:r w:rsidRPr="008B3BC2">
        <w:rPr>
          <w:rFonts w:ascii="Arial" w:hAnsi="Arial" w:cs="Arial"/>
          <w:b/>
          <w:sz w:val="22"/>
          <w:szCs w:val="22"/>
        </w:rPr>
        <w:t>To develop and test plans and protocols to effectively manage major organisational disruptions.</w:t>
      </w:r>
    </w:p>
    <w:p w:rsidR="00266D55" w:rsidRPr="008B3BC2" w:rsidRDefault="00266D55" w:rsidP="0083415A">
      <w:pPr>
        <w:numPr>
          <w:ilvl w:val="0"/>
          <w:numId w:val="15"/>
        </w:numPr>
        <w:tabs>
          <w:tab w:val="clear" w:pos="360"/>
          <w:tab w:val="num" w:pos="540"/>
        </w:tabs>
        <w:spacing w:after="240"/>
        <w:ind w:left="539" w:hanging="539"/>
        <w:jc w:val="both"/>
        <w:rPr>
          <w:rFonts w:ascii="Arial" w:hAnsi="Arial" w:cs="Arial"/>
          <w:b/>
          <w:sz w:val="22"/>
          <w:szCs w:val="22"/>
        </w:rPr>
      </w:pPr>
      <w:r w:rsidRPr="008B3BC2">
        <w:rPr>
          <w:rFonts w:ascii="Arial" w:hAnsi="Arial" w:cs="Arial"/>
          <w:b/>
          <w:sz w:val="22"/>
          <w:szCs w:val="22"/>
        </w:rPr>
        <w:t>To manage our business in an environmentally responsible and sustainable manner.</w:t>
      </w:r>
    </w:p>
    <w:p w:rsidR="00266D55" w:rsidRPr="008047D6" w:rsidRDefault="00266D55" w:rsidP="00682FF2">
      <w:pPr>
        <w:pStyle w:val="BodyText"/>
        <w:keepNext w:val="0"/>
        <w:keepLines w:val="0"/>
        <w:spacing w:before="240" w:after="240"/>
        <w:rPr>
          <w:rFonts w:ascii="Arial" w:hAnsi="Arial" w:cs="Arial"/>
          <w:b/>
          <w:sz w:val="22"/>
          <w:szCs w:val="22"/>
        </w:rPr>
      </w:pPr>
      <w:r w:rsidRPr="008047D6">
        <w:rPr>
          <w:rFonts w:ascii="Arial" w:hAnsi="Arial" w:cs="Arial"/>
          <w:b/>
          <w:sz w:val="22"/>
          <w:szCs w:val="22"/>
        </w:rPr>
        <w:t>Key Performance Indicators:</w:t>
      </w:r>
    </w:p>
    <w:p w:rsidR="00E12481" w:rsidRPr="00A736F1" w:rsidRDefault="00E12481"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sidRPr="00A736F1">
        <w:rPr>
          <w:rFonts w:ascii="Arial" w:hAnsi="Arial" w:cs="Arial"/>
          <w:sz w:val="22"/>
          <w:szCs w:val="22"/>
        </w:rPr>
        <w:t>Adherence to compliance obligations.</w:t>
      </w:r>
    </w:p>
    <w:p w:rsidR="00E12481" w:rsidRPr="00A736F1" w:rsidRDefault="00E12481"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sidRPr="00A736F1">
        <w:rPr>
          <w:rFonts w:ascii="Arial" w:hAnsi="Arial" w:cs="Arial"/>
          <w:sz w:val="22"/>
          <w:szCs w:val="22"/>
        </w:rPr>
        <w:t>Unit plans approved.</w:t>
      </w:r>
    </w:p>
    <w:p w:rsidR="00266D55" w:rsidRPr="00A736F1" w:rsidRDefault="00E12481"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sidRPr="00A736F1">
        <w:rPr>
          <w:rFonts w:ascii="Arial" w:hAnsi="Arial" w:cs="Arial"/>
          <w:sz w:val="22"/>
          <w:szCs w:val="22"/>
        </w:rPr>
        <w:t>Business continuity plans developed and tested.</w:t>
      </w:r>
    </w:p>
    <w:p w:rsidR="00E12481" w:rsidRPr="00A736F1" w:rsidRDefault="00E12481"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sidRPr="00A736F1">
        <w:rPr>
          <w:rFonts w:ascii="Arial" w:hAnsi="Arial" w:cs="Arial"/>
          <w:sz w:val="22"/>
          <w:szCs w:val="22"/>
        </w:rPr>
        <w:t>Environmental plan developed and implemented.</w:t>
      </w:r>
    </w:p>
    <w:p w:rsidR="00266D55" w:rsidRDefault="00266D55" w:rsidP="00682FF2">
      <w:pPr>
        <w:pStyle w:val="Heading7"/>
        <w:spacing w:before="240" w:after="240"/>
        <w:rPr>
          <w:rFonts w:ascii="Arial" w:hAnsi="Arial" w:cs="Arial"/>
          <w:sz w:val="22"/>
          <w:szCs w:val="22"/>
          <w:lang w:val="en-US" w:eastAsia="en-US"/>
        </w:rPr>
      </w:pPr>
      <w:r w:rsidRPr="00EC3B96">
        <w:rPr>
          <w:rFonts w:ascii="Arial" w:hAnsi="Arial" w:cs="Arial"/>
          <w:sz w:val="22"/>
          <w:szCs w:val="22"/>
          <w:lang w:val="en-US" w:eastAsia="en-US"/>
        </w:rPr>
        <w:t xml:space="preserve">Priorities for </w:t>
      </w:r>
      <w:r w:rsidR="00715677">
        <w:rPr>
          <w:rFonts w:ascii="Arial" w:hAnsi="Arial" w:cs="Arial"/>
          <w:sz w:val="22"/>
          <w:szCs w:val="22"/>
          <w:lang w:val="en-US" w:eastAsia="en-US"/>
        </w:rPr>
        <w:t>2011-12</w:t>
      </w:r>
      <w:r w:rsidRPr="008047D6">
        <w:rPr>
          <w:rFonts w:ascii="Arial" w:hAnsi="Arial" w:cs="Arial"/>
          <w:sz w:val="22"/>
          <w:szCs w:val="22"/>
          <w:lang w:val="en-US" w:eastAsia="en-US"/>
        </w:rPr>
        <w:t>:</w:t>
      </w:r>
    </w:p>
    <w:p w:rsidR="00266D55" w:rsidRPr="00A736F1" w:rsidRDefault="00266D55"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A736F1">
        <w:rPr>
          <w:rFonts w:ascii="Arial" w:hAnsi="Arial" w:cs="Arial"/>
          <w:sz w:val="22"/>
          <w:szCs w:val="22"/>
        </w:rPr>
        <w:t>Continue to develop and exercise business continuity plans.</w:t>
      </w:r>
    </w:p>
    <w:p w:rsidR="00266D55" w:rsidRPr="00A736F1" w:rsidRDefault="002A67D3"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Pr>
          <w:rFonts w:ascii="Arial" w:hAnsi="Arial" w:cs="Arial"/>
          <w:sz w:val="22"/>
          <w:szCs w:val="22"/>
        </w:rPr>
        <w:t>D</w:t>
      </w:r>
      <w:r w:rsidR="00266D55" w:rsidRPr="00A736F1">
        <w:rPr>
          <w:rFonts w:ascii="Arial" w:hAnsi="Arial" w:cs="Arial"/>
          <w:sz w:val="22"/>
          <w:szCs w:val="22"/>
        </w:rPr>
        <w:t>evelop and implement unit plans</w:t>
      </w:r>
      <w:r w:rsidR="00264680">
        <w:rPr>
          <w:rFonts w:ascii="Arial" w:hAnsi="Arial" w:cs="Arial"/>
          <w:sz w:val="22"/>
          <w:szCs w:val="22"/>
        </w:rPr>
        <w:t>.</w:t>
      </w:r>
    </w:p>
    <w:p w:rsidR="00266D55" w:rsidRPr="00A736F1" w:rsidRDefault="00266D55"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A736F1">
        <w:rPr>
          <w:rFonts w:ascii="Arial" w:hAnsi="Arial" w:cs="Arial"/>
          <w:sz w:val="22"/>
          <w:szCs w:val="22"/>
        </w:rPr>
        <w:t>Develop and implement an environmental policy and implementation plan</w:t>
      </w:r>
      <w:r w:rsidR="00264680">
        <w:rPr>
          <w:rFonts w:ascii="Arial" w:hAnsi="Arial" w:cs="Arial"/>
          <w:sz w:val="22"/>
          <w:szCs w:val="22"/>
        </w:rPr>
        <w:t>.</w:t>
      </w:r>
    </w:p>
    <w:p w:rsidR="00266D55" w:rsidRPr="00A736F1" w:rsidRDefault="00266D55"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A736F1">
        <w:rPr>
          <w:rFonts w:ascii="Arial" w:hAnsi="Arial" w:cs="Arial"/>
          <w:sz w:val="22"/>
          <w:szCs w:val="22"/>
        </w:rPr>
        <w:t>Analyse and prioritise our corporate governance responsibilities</w:t>
      </w:r>
      <w:r w:rsidR="00264680">
        <w:rPr>
          <w:rFonts w:ascii="Arial" w:hAnsi="Arial" w:cs="Arial"/>
          <w:sz w:val="22"/>
          <w:szCs w:val="22"/>
        </w:rPr>
        <w:t>.</w:t>
      </w:r>
    </w:p>
    <w:p w:rsidR="00266D55" w:rsidRPr="00A736F1" w:rsidRDefault="00266D55"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A736F1">
        <w:rPr>
          <w:rFonts w:ascii="Arial" w:hAnsi="Arial" w:cs="Arial"/>
          <w:sz w:val="22"/>
          <w:szCs w:val="22"/>
        </w:rPr>
        <w:t>Promote a culture of environmental responsibility at an individual, unit and organisational level.</w:t>
      </w:r>
    </w:p>
    <w:p w:rsidR="00725497" w:rsidRPr="00266D55" w:rsidRDefault="00266D55" w:rsidP="00E9527D">
      <w:pPr>
        <w:spacing w:after="240"/>
        <w:jc w:val="both"/>
        <w:rPr>
          <w:rFonts w:ascii="Arial" w:hAnsi="Arial" w:cs="Arial"/>
          <w:b/>
          <w:sz w:val="22"/>
          <w:szCs w:val="22"/>
        </w:rPr>
      </w:pPr>
      <w:r w:rsidRPr="008047D6">
        <w:br w:type="page"/>
      </w:r>
      <w:smartTag w:uri="urn:schemas-microsoft-com:office:smarttags" w:element="stockticker">
        <w:r w:rsidR="00725497" w:rsidRPr="00266D55">
          <w:rPr>
            <w:rFonts w:ascii="Arial" w:hAnsi="Arial" w:cs="Arial"/>
            <w:b/>
            <w:sz w:val="22"/>
            <w:szCs w:val="22"/>
          </w:rPr>
          <w:t>KEY</w:t>
        </w:r>
      </w:smartTag>
      <w:r w:rsidR="00725497" w:rsidRPr="00266D55">
        <w:rPr>
          <w:rFonts w:ascii="Arial" w:hAnsi="Arial" w:cs="Arial"/>
          <w:b/>
          <w:sz w:val="22"/>
          <w:szCs w:val="22"/>
        </w:rPr>
        <w:t xml:space="preserve"> RESULT </w:t>
      </w:r>
      <w:smartTag w:uri="urn:schemas-microsoft-com:office:smarttags" w:element="stockticker">
        <w:r w:rsidR="00725497" w:rsidRPr="00266D55">
          <w:rPr>
            <w:rFonts w:ascii="Arial" w:hAnsi="Arial" w:cs="Arial"/>
            <w:b/>
            <w:sz w:val="22"/>
            <w:szCs w:val="22"/>
          </w:rPr>
          <w:t>AREA</w:t>
        </w:r>
      </w:smartTag>
      <w:r w:rsidR="00725497" w:rsidRPr="00266D55">
        <w:rPr>
          <w:rFonts w:ascii="Arial" w:hAnsi="Arial" w:cs="Arial"/>
          <w:b/>
          <w:sz w:val="22"/>
          <w:szCs w:val="22"/>
        </w:rPr>
        <w:t xml:space="preserve"> </w:t>
      </w:r>
      <w:r w:rsidRPr="00266D55">
        <w:rPr>
          <w:rFonts w:ascii="Arial" w:hAnsi="Arial" w:cs="Arial"/>
          <w:b/>
          <w:sz w:val="22"/>
          <w:szCs w:val="22"/>
        </w:rPr>
        <w:t>4</w:t>
      </w:r>
    </w:p>
    <w:p w:rsidR="004B6163" w:rsidRPr="008047D6" w:rsidRDefault="004B6163" w:rsidP="00E9527D">
      <w:pPr>
        <w:pStyle w:val="Heading1"/>
        <w:spacing w:before="360" w:after="480"/>
        <w:jc w:val="center"/>
        <w:rPr>
          <w:rFonts w:ascii="Arial" w:hAnsi="Arial" w:cs="Arial"/>
          <w:bCs/>
          <w:i/>
          <w:sz w:val="22"/>
          <w:szCs w:val="22"/>
        </w:rPr>
      </w:pPr>
      <w:bookmarkStart w:id="27" w:name="_Toc288225437"/>
      <w:r w:rsidRPr="008047D6">
        <w:rPr>
          <w:rFonts w:ascii="Arial" w:hAnsi="Arial" w:cs="Arial"/>
          <w:bCs/>
          <w:i/>
          <w:sz w:val="22"/>
          <w:szCs w:val="22"/>
        </w:rPr>
        <w:t>OUR PEOPLE</w:t>
      </w:r>
      <w:bookmarkEnd w:id="27"/>
    </w:p>
    <w:p w:rsidR="004B6163" w:rsidRPr="008047D6" w:rsidRDefault="004B6163" w:rsidP="00E9527D">
      <w:pPr>
        <w:spacing w:before="240" w:after="240"/>
        <w:rPr>
          <w:rFonts w:ascii="Arial" w:hAnsi="Arial" w:cs="Arial"/>
          <w:b/>
          <w:sz w:val="22"/>
          <w:szCs w:val="22"/>
        </w:rPr>
      </w:pPr>
      <w:r w:rsidRPr="008047D6">
        <w:rPr>
          <w:rFonts w:ascii="Arial" w:hAnsi="Arial" w:cs="Arial"/>
          <w:b/>
          <w:sz w:val="22"/>
          <w:szCs w:val="22"/>
        </w:rPr>
        <w:t>GOAL STATEMENT:</w:t>
      </w:r>
    </w:p>
    <w:p w:rsidR="004B6163" w:rsidRPr="008047D6" w:rsidRDefault="004B6163" w:rsidP="00E9527D">
      <w:pPr>
        <w:spacing w:after="240"/>
        <w:rPr>
          <w:rFonts w:ascii="Arial" w:hAnsi="Arial" w:cs="Arial"/>
          <w:sz w:val="22"/>
          <w:szCs w:val="22"/>
        </w:rPr>
      </w:pPr>
      <w:r w:rsidRPr="008047D6">
        <w:rPr>
          <w:rFonts w:ascii="Arial" w:hAnsi="Arial" w:cs="Arial"/>
          <w:sz w:val="22"/>
          <w:szCs w:val="22"/>
        </w:rPr>
        <w:t xml:space="preserve">To support our people in a </w:t>
      </w:r>
      <w:r>
        <w:rPr>
          <w:rFonts w:ascii="Arial" w:hAnsi="Arial" w:cs="Arial"/>
          <w:sz w:val="22"/>
          <w:szCs w:val="22"/>
        </w:rPr>
        <w:t xml:space="preserve">safe, </w:t>
      </w:r>
      <w:r w:rsidRPr="008047D6">
        <w:rPr>
          <w:rFonts w:ascii="Arial" w:hAnsi="Arial" w:cs="Arial"/>
          <w:sz w:val="22"/>
          <w:szCs w:val="22"/>
        </w:rPr>
        <w:t>fair</w:t>
      </w:r>
      <w:r>
        <w:rPr>
          <w:rFonts w:ascii="Arial" w:hAnsi="Arial" w:cs="Arial"/>
          <w:sz w:val="22"/>
          <w:szCs w:val="22"/>
        </w:rPr>
        <w:t xml:space="preserve"> and </w:t>
      </w:r>
      <w:r w:rsidRPr="008047D6">
        <w:rPr>
          <w:rFonts w:ascii="Arial" w:hAnsi="Arial" w:cs="Arial"/>
          <w:sz w:val="22"/>
          <w:szCs w:val="22"/>
        </w:rPr>
        <w:t>productive work environment.</w:t>
      </w:r>
    </w:p>
    <w:p w:rsidR="004B6163" w:rsidRPr="008047D6" w:rsidRDefault="004B6163" w:rsidP="00E9527D">
      <w:pPr>
        <w:spacing w:before="240" w:after="240"/>
        <w:rPr>
          <w:rFonts w:ascii="Arial" w:hAnsi="Arial" w:cs="Arial"/>
          <w:b/>
          <w:sz w:val="22"/>
          <w:szCs w:val="22"/>
        </w:rPr>
      </w:pPr>
      <w:r w:rsidRPr="008047D6">
        <w:rPr>
          <w:rFonts w:ascii="Arial" w:hAnsi="Arial" w:cs="Arial"/>
          <w:b/>
          <w:sz w:val="22"/>
          <w:szCs w:val="22"/>
        </w:rPr>
        <w:t xml:space="preserve">OBJECTIVES </w:t>
      </w:r>
    </w:p>
    <w:p w:rsidR="004B6163" w:rsidRPr="00BF5257" w:rsidRDefault="004B6163" w:rsidP="0083415A">
      <w:pPr>
        <w:numPr>
          <w:ilvl w:val="0"/>
          <w:numId w:val="15"/>
        </w:numPr>
        <w:tabs>
          <w:tab w:val="clear" w:pos="360"/>
          <w:tab w:val="num" w:pos="540"/>
        </w:tabs>
        <w:spacing w:after="240"/>
        <w:ind w:left="539" w:hanging="539"/>
        <w:rPr>
          <w:rFonts w:ascii="Arial" w:hAnsi="Arial" w:cs="Arial"/>
          <w:b/>
          <w:sz w:val="22"/>
          <w:szCs w:val="22"/>
        </w:rPr>
      </w:pPr>
      <w:r>
        <w:rPr>
          <w:rFonts w:ascii="Arial" w:hAnsi="Arial" w:cs="Arial"/>
          <w:b/>
          <w:sz w:val="22"/>
          <w:szCs w:val="22"/>
        </w:rPr>
        <w:t>To a</w:t>
      </w:r>
      <w:r w:rsidRPr="00BF5257">
        <w:rPr>
          <w:rFonts w:ascii="Arial" w:hAnsi="Arial" w:cs="Arial"/>
          <w:b/>
          <w:sz w:val="22"/>
          <w:szCs w:val="22"/>
        </w:rPr>
        <w:t>ttract and retain the right people.</w:t>
      </w:r>
    </w:p>
    <w:p w:rsidR="004B6163" w:rsidRPr="00BF5257" w:rsidRDefault="004B6163" w:rsidP="0083415A">
      <w:pPr>
        <w:numPr>
          <w:ilvl w:val="0"/>
          <w:numId w:val="15"/>
        </w:numPr>
        <w:tabs>
          <w:tab w:val="clear" w:pos="360"/>
          <w:tab w:val="num" w:pos="540"/>
        </w:tabs>
        <w:spacing w:after="240"/>
        <w:ind w:left="539" w:hanging="539"/>
        <w:jc w:val="both"/>
        <w:rPr>
          <w:rFonts w:ascii="Arial" w:hAnsi="Arial" w:cs="Arial"/>
          <w:b/>
          <w:sz w:val="22"/>
          <w:szCs w:val="22"/>
        </w:rPr>
      </w:pPr>
      <w:r>
        <w:rPr>
          <w:rFonts w:ascii="Arial" w:hAnsi="Arial" w:cs="Arial"/>
          <w:b/>
          <w:sz w:val="22"/>
          <w:szCs w:val="22"/>
        </w:rPr>
        <w:t>To s</w:t>
      </w:r>
      <w:r w:rsidRPr="00BF5257">
        <w:rPr>
          <w:rFonts w:ascii="Arial" w:hAnsi="Arial" w:cs="Arial"/>
          <w:b/>
          <w:sz w:val="22"/>
          <w:szCs w:val="22"/>
        </w:rPr>
        <w:t>hap</w:t>
      </w:r>
      <w:r>
        <w:rPr>
          <w:rFonts w:ascii="Arial" w:hAnsi="Arial" w:cs="Arial"/>
          <w:b/>
          <w:sz w:val="22"/>
          <w:szCs w:val="22"/>
        </w:rPr>
        <w:t>e</w:t>
      </w:r>
      <w:r w:rsidRPr="00BF5257">
        <w:rPr>
          <w:rFonts w:ascii="Arial" w:hAnsi="Arial" w:cs="Arial"/>
          <w:b/>
          <w:sz w:val="22"/>
          <w:szCs w:val="22"/>
        </w:rPr>
        <w:t xml:space="preserve"> our workforce and performance.</w:t>
      </w:r>
    </w:p>
    <w:p w:rsidR="004B6163" w:rsidRPr="00BF5257" w:rsidRDefault="004B6163" w:rsidP="0083415A">
      <w:pPr>
        <w:numPr>
          <w:ilvl w:val="0"/>
          <w:numId w:val="15"/>
        </w:numPr>
        <w:tabs>
          <w:tab w:val="clear" w:pos="360"/>
          <w:tab w:val="num" w:pos="540"/>
        </w:tabs>
        <w:spacing w:after="240"/>
        <w:ind w:left="539" w:hanging="539"/>
        <w:jc w:val="both"/>
        <w:rPr>
          <w:rFonts w:ascii="Arial" w:hAnsi="Arial" w:cs="Arial"/>
          <w:b/>
          <w:sz w:val="22"/>
          <w:szCs w:val="22"/>
        </w:rPr>
      </w:pPr>
      <w:r>
        <w:rPr>
          <w:rFonts w:ascii="Arial" w:hAnsi="Arial" w:cs="Arial"/>
          <w:b/>
          <w:sz w:val="22"/>
          <w:szCs w:val="22"/>
        </w:rPr>
        <w:t>To l</w:t>
      </w:r>
      <w:r w:rsidRPr="00BF5257">
        <w:rPr>
          <w:rFonts w:ascii="Arial" w:hAnsi="Arial" w:cs="Arial"/>
          <w:b/>
          <w:sz w:val="22"/>
          <w:szCs w:val="22"/>
        </w:rPr>
        <w:t>ead and manag</w:t>
      </w:r>
      <w:r>
        <w:rPr>
          <w:rFonts w:ascii="Arial" w:hAnsi="Arial" w:cs="Arial"/>
          <w:b/>
          <w:sz w:val="22"/>
          <w:szCs w:val="22"/>
        </w:rPr>
        <w:t xml:space="preserve">e </w:t>
      </w:r>
      <w:r w:rsidRPr="00BF5257">
        <w:rPr>
          <w:rFonts w:ascii="Arial" w:hAnsi="Arial" w:cs="Arial"/>
          <w:b/>
          <w:sz w:val="22"/>
          <w:szCs w:val="22"/>
        </w:rPr>
        <w:t>for the future.</w:t>
      </w:r>
    </w:p>
    <w:p w:rsidR="004B6163" w:rsidRPr="00BF5257" w:rsidRDefault="004B6163" w:rsidP="0083415A">
      <w:pPr>
        <w:numPr>
          <w:ilvl w:val="0"/>
          <w:numId w:val="15"/>
        </w:numPr>
        <w:tabs>
          <w:tab w:val="clear" w:pos="360"/>
          <w:tab w:val="num" w:pos="540"/>
        </w:tabs>
        <w:spacing w:after="240"/>
        <w:ind w:left="539" w:hanging="539"/>
        <w:jc w:val="both"/>
        <w:rPr>
          <w:rFonts w:ascii="Arial" w:hAnsi="Arial" w:cs="Arial"/>
          <w:b/>
          <w:sz w:val="22"/>
          <w:szCs w:val="22"/>
        </w:rPr>
      </w:pPr>
      <w:r>
        <w:rPr>
          <w:rFonts w:ascii="Arial" w:hAnsi="Arial" w:cs="Arial"/>
          <w:b/>
          <w:sz w:val="22"/>
          <w:szCs w:val="22"/>
        </w:rPr>
        <w:t>To d</w:t>
      </w:r>
      <w:r w:rsidRPr="00BF5257">
        <w:rPr>
          <w:rFonts w:ascii="Arial" w:hAnsi="Arial" w:cs="Arial"/>
          <w:b/>
          <w:sz w:val="22"/>
          <w:szCs w:val="22"/>
        </w:rPr>
        <w:t>evelop and recognis</w:t>
      </w:r>
      <w:r>
        <w:rPr>
          <w:rFonts w:ascii="Arial" w:hAnsi="Arial" w:cs="Arial"/>
          <w:b/>
          <w:sz w:val="22"/>
          <w:szCs w:val="22"/>
        </w:rPr>
        <w:t>e</w:t>
      </w:r>
      <w:r w:rsidRPr="00BF5257">
        <w:rPr>
          <w:rFonts w:ascii="Arial" w:hAnsi="Arial" w:cs="Arial"/>
          <w:b/>
          <w:sz w:val="22"/>
          <w:szCs w:val="22"/>
        </w:rPr>
        <w:t xml:space="preserve"> our </w:t>
      </w:r>
      <w:r w:rsidRPr="006C3469">
        <w:rPr>
          <w:rFonts w:ascii="Arial" w:hAnsi="Arial" w:cs="Arial"/>
          <w:b/>
          <w:sz w:val="22"/>
          <w:szCs w:val="22"/>
        </w:rPr>
        <w:t>people</w:t>
      </w:r>
      <w:r w:rsidR="004D454B" w:rsidRPr="006C3469">
        <w:rPr>
          <w:rFonts w:ascii="Arial" w:hAnsi="Arial" w:cs="Arial"/>
          <w:b/>
          <w:sz w:val="22"/>
          <w:szCs w:val="22"/>
        </w:rPr>
        <w:t>’</w:t>
      </w:r>
      <w:r w:rsidRPr="006C3469">
        <w:rPr>
          <w:rFonts w:ascii="Arial" w:hAnsi="Arial" w:cs="Arial"/>
          <w:b/>
          <w:sz w:val="22"/>
          <w:szCs w:val="22"/>
        </w:rPr>
        <w:t>s</w:t>
      </w:r>
      <w:r w:rsidRPr="00BF5257">
        <w:rPr>
          <w:rFonts w:ascii="Arial" w:hAnsi="Arial" w:cs="Arial"/>
          <w:b/>
          <w:sz w:val="22"/>
          <w:szCs w:val="22"/>
        </w:rPr>
        <w:t xml:space="preserve"> capability.</w:t>
      </w:r>
    </w:p>
    <w:p w:rsidR="004B6163" w:rsidRPr="0065493B" w:rsidRDefault="004B6163" w:rsidP="0083415A">
      <w:pPr>
        <w:numPr>
          <w:ilvl w:val="0"/>
          <w:numId w:val="15"/>
        </w:numPr>
        <w:tabs>
          <w:tab w:val="clear" w:pos="360"/>
          <w:tab w:val="num" w:pos="540"/>
        </w:tabs>
        <w:spacing w:after="240"/>
        <w:ind w:left="539" w:hanging="539"/>
        <w:rPr>
          <w:rFonts w:ascii="Arial" w:hAnsi="Arial" w:cs="Arial"/>
          <w:b/>
          <w:sz w:val="22"/>
          <w:szCs w:val="22"/>
        </w:rPr>
      </w:pPr>
      <w:r>
        <w:rPr>
          <w:rFonts w:ascii="Arial" w:hAnsi="Arial" w:cs="Arial"/>
          <w:b/>
          <w:sz w:val="22"/>
          <w:szCs w:val="22"/>
        </w:rPr>
        <w:t>To c</w:t>
      </w:r>
      <w:r w:rsidRPr="0065493B">
        <w:rPr>
          <w:rFonts w:ascii="Arial" w:hAnsi="Arial" w:cs="Arial"/>
          <w:b/>
          <w:sz w:val="22"/>
          <w:szCs w:val="22"/>
        </w:rPr>
        <w:t>reate and maintain an environment where members are well informed, valued</w:t>
      </w:r>
      <w:r w:rsidR="00F40E46">
        <w:rPr>
          <w:rFonts w:ascii="Arial" w:hAnsi="Arial" w:cs="Arial"/>
          <w:b/>
          <w:sz w:val="22"/>
          <w:szCs w:val="22"/>
        </w:rPr>
        <w:t xml:space="preserve"> </w:t>
      </w:r>
      <w:r w:rsidRPr="0065493B">
        <w:rPr>
          <w:rFonts w:ascii="Arial" w:hAnsi="Arial" w:cs="Arial"/>
          <w:b/>
          <w:sz w:val="22"/>
          <w:szCs w:val="22"/>
        </w:rPr>
        <w:t>and feel they belong.</w:t>
      </w:r>
    </w:p>
    <w:p w:rsidR="004B6163" w:rsidRPr="008047D6" w:rsidRDefault="004B6163" w:rsidP="00E9527D">
      <w:pPr>
        <w:pStyle w:val="BodyText"/>
        <w:keepNext w:val="0"/>
        <w:keepLines w:val="0"/>
        <w:spacing w:before="240" w:after="240"/>
        <w:rPr>
          <w:rFonts w:ascii="Arial" w:hAnsi="Arial" w:cs="Arial"/>
          <w:b/>
          <w:sz w:val="22"/>
          <w:szCs w:val="22"/>
        </w:rPr>
      </w:pPr>
      <w:r w:rsidRPr="008047D6">
        <w:rPr>
          <w:rFonts w:ascii="Arial" w:hAnsi="Arial" w:cs="Arial"/>
          <w:b/>
          <w:sz w:val="22"/>
          <w:szCs w:val="22"/>
        </w:rPr>
        <w:t>Key Performance Indicators:</w:t>
      </w:r>
    </w:p>
    <w:p w:rsidR="004B6163" w:rsidRPr="008047D6" w:rsidRDefault="004B6163" w:rsidP="0083415A">
      <w:pPr>
        <w:pStyle w:val="BodyText2"/>
        <w:keepNext w:val="0"/>
        <w:keepLines w:val="0"/>
        <w:numPr>
          <w:ilvl w:val="0"/>
          <w:numId w:val="16"/>
        </w:numPr>
        <w:tabs>
          <w:tab w:val="clear" w:pos="266"/>
          <w:tab w:val="num" w:pos="540"/>
        </w:tabs>
        <w:spacing w:after="140"/>
        <w:ind w:left="539" w:hanging="539"/>
        <w:rPr>
          <w:rFonts w:ascii="Arial" w:hAnsi="Arial" w:cs="Arial"/>
          <w:sz w:val="22"/>
          <w:szCs w:val="22"/>
        </w:rPr>
      </w:pPr>
      <w:r w:rsidRPr="008047D6">
        <w:rPr>
          <w:rFonts w:ascii="Arial" w:hAnsi="Arial" w:cs="Arial"/>
          <w:sz w:val="22"/>
          <w:szCs w:val="22"/>
        </w:rPr>
        <w:t>Lost Time Injury Frequency Rate for career members (the number of lost time occurrences in relation to the number of hours worked by career members).</w:t>
      </w:r>
    </w:p>
    <w:p w:rsidR="004B6163" w:rsidRPr="008047D6" w:rsidRDefault="004B6163" w:rsidP="0083415A">
      <w:pPr>
        <w:pStyle w:val="BodyText2"/>
        <w:keepNext w:val="0"/>
        <w:keepLines w:val="0"/>
        <w:numPr>
          <w:ilvl w:val="0"/>
          <w:numId w:val="16"/>
        </w:numPr>
        <w:tabs>
          <w:tab w:val="clear" w:pos="266"/>
          <w:tab w:val="num" w:pos="540"/>
        </w:tabs>
        <w:spacing w:after="140"/>
        <w:ind w:left="539" w:hanging="539"/>
        <w:rPr>
          <w:rFonts w:ascii="Arial" w:hAnsi="Arial" w:cs="Arial"/>
          <w:sz w:val="22"/>
          <w:szCs w:val="22"/>
        </w:rPr>
      </w:pPr>
      <w:r w:rsidRPr="008047D6">
        <w:rPr>
          <w:rFonts w:ascii="Arial" w:hAnsi="Arial" w:cs="Arial"/>
          <w:sz w:val="22"/>
          <w:szCs w:val="22"/>
        </w:rPr>
        <w:t>Lost Time Accident Rate (the number of new occurrences of injury in relation to the number of members).</w:t>
      </w:r>
    </w:p>
    <w:p w:rsidR="004B6163" w:rsidRPr="008047D6" w:rsidRDefault="004B6163" w:rsidP="0083415A">
      <w:pPr>
        <w:pStyle w:val="BodyText2"/>
        <w:keepNext w:val="0"/>
        <w:keepLines w:val="0"/>
        <w:numPr>
          <w:ilvl w:val="0"/>
          <w:numId w:val="16"/>
        </w:numPr>
        <w:tabs>
          <w:tab w:val="clear" w:pos="266"/>
          <w:tab w:val="num" w:pos="540"/>
        </w:tabs>
        <w:spacing w:after="140"/>
        <w:ind w:left="539" w:hanging="539"/>
        <w:rPr>
          <w:rFonts w:ascii="Arial" w:hAnsi="Arial" w:cs="Arial"/>
          <w:sz w:val="22"/>
          <w:szCs w:val="22"/>
        </w:rPr>
      </w:pPr>
      <w:r w:rsidRPr="008047D6">
        <w:rPr>
          <w:rFonts w:ascii="Arial" w:hAnsi="Arial" w:cs="Arial"/>
          <w:sz w:val="22"/>
          <w:szCs w:val="22"/>
        </w:rPr>
        <w:t>Average Time Lost Rate (the severity of the occurrences of injury).</w:t>
      </w:r>
    </w:p>
    <w:p w:rsidR="00C63261" w:rsidRPr="008047D6" w:rsidRDefault="00C63261" w:rsidP="00C63261">
      <w:pPr>
        <w:pStyle w:val="BodyText2"/>
        <w:keepNext w:val="0"/>
        <w:keepLines w:val="0"/>
        <w:numPr>
          <w:ilvl w:val="0"/>
          <w:numId w:val="16"/>
        </w:numPr>
        <w:tabs>
          <w:tab w:val="clear" w:pos="266"/>
          <w:tab w:val="num" w:pos="540"/>
        </w:tabs>
        <w:spacing w:after="140"/>
        <w:ind w:left="539" w:hanging="539"/>
        <w:rPr>
          <w:rFonts w:ascii="Arial" w:hAnsi="Arial" w:cs="Arial"/>
          <w:sz w:val="22"/>
          <w:szCs w:val="22"/>
        </w:rPr>
      </w:pPr>
      <w:r w:rsidRPr="008047D6">
        <w:rPr>
          <w:rFonts w:ascii="Arial" w:hAnsi="Arial" w:cs="Arial"/>
          <w:sz w:val="22"/>
          <w:szCs w:val="22"/>
        </w:rPr>
        <w:t>Absence Rate (the average number of days absence per employee).</w:t>
      </w:r>
    </w:p>
    <w:p w:rsidR="00C63261" w:rsidRDefault="00C63261" w:rsidP="00C63261">
      <w:pPr>
        <w:pStyle w:val="BodyText2"/>
        <w:keepNext w:val="0"/>
        <w:keepLines w:val="0"/>
        <w:numPr>
          <w:ilvl w:val="0"/>
          <w:numId w:val="16"/>
        </w:numPr>
        <w:tabs>
          <w:tab w:val="clear" w:pos="266"/>
          <w:tab w:val="num" w:pos="540"/>
        </w:tabs>
        <w:spacing w:after="140"/>
        <w:ind w:left="539" w:hanging="539"/>
        <w:rPr>
          <w:rFonts w:ascii="Arial" w:hAnsi="Arial" w:cs="Arial"/>
          <w:sz w:val="22"/>
          <w:szCs w:val="22"/>
        </w:rPr>
      </w:pPr>
      <w:r w:rsidRPr="008047D6">
        <w:rPr>
          <w:rFonts w:ascii="Arial" w:hAnsi="Arial" w:cs="Arial"/>
          <w:sz w:val="22"/>
          <w:szCs w:val="22"/>
        </w:rPr>
        <w:t>Absence Frequency (the number of occasion</w:t>
      </w:r>
      <w:r>
        <w:rPr>
          <w:rFonts w:ascii="Arial" w:hAnsi="Arial" w:cs="Arial"/>
          <w:sz w:val="22"/>
          <w:szCs w:val="22"/>
        </w:rPr>
        <w:t>s</w:t>
      </w:r>
      <w:r w:rsidRPr="008047D6">
        <w:rPr>
          <w:rFonts w:ascii="Arial" w:hAnsi="Arial" w:cs="Arial"/>
          <w:sz w:val="22"/>
          <w:szCs w:val="22"/>
        </w:rPr>
        <w:t xml:space="preserve"> on which absence occurs per employee).</w:t>
      </w:r>
    </w:p>
    <w:p w:rsidR="00C63261" w:rsidRPr="008047D6" w:rsidRDefault="00C63261" w:rsidP="00C63261">
      <w:pPr>
        <w:pStyle w:val="BodyText2"/>
        <w:keepNext w:val="0"/>
        <w:keepLines w:val="0"/>
        <w:numPr>
          <w:ilvl w:val="0"/>
          <w:numId w:val="16"/>
        </w:numPr>
        <w:tabs>
          <w:tab w:val="clear" w:pos="266"/>
          <w:tab w:val="num" w:pos="540"/>
        </w:tabs>
        <w:ind w:left="539" w:hanging="539"/>
        <w:rPr>
          <w:rFonts w:ascii="Arial" w:hAnsi="Arial" w:cs="Arial"/>
          <w:sz w:val="22"/>
          <w:szCs w:val="22"/>
        </w:rPr>
      </w:pPr>
      <w:r w:rsidRPr="008047D6">
        <w:rPr>
          <w:rFonts w:ascii="Arial" w:hAnsi="Arial" w:cs="Arial"/>
          <w:sz w:val="22"/>
          <w:szCs w:val="22"/>
        </w:rPr>
        <w:t xml:space="preserve">TFS Gender </w:t>
      </w:r>
      <w:r>
        <w:rPr>
          <w:rFonts w:ascii="Arial" w:hAnsi="Arial" w:cs="Arial"/>
          <w:sz w:val="22"/>
          <w:szCs w:val="22"/>
        </w:rPr>
        <w:t>and</w:t>
      </w:r>
      <w:r w:rsidRPr="008047D6">
        <w:rPr>
          <w:rFonts w:ascii="Arial" w:hAnsi="Arial" w:cs="Arial"/>
          <w:sz w:val="22"/>
          <w:szCs w:val="22"/>
        </w:rPr>
        <w:t xml:space="preserve"> Age Diversity levels.</w:t>
      </w:r>
    </w:p>
    <w:p w:rsidR="00C63261" w:rsidRPr="008047D6" w:rsidRDefault="00C63261" w:rsidP="00C63261">
      <w:pPr>
        <w:pStyle w:val="Heading7"/>
        <w:spacing w:before="240" w:after="240"/>
        <w:rPr>
          <w:rFonts w:ascii="Arial" w:hAnsi="Arial" w:cs="Arial"/>
          <w:sz w:val="22"/>
          <w:szCs w:val="22"/>
          <w:lang w:val="en-US" w:eastAsia="en-US"/>
        </w:rPr>
      </w:pPr>
      <w:r w:rsidRPr="00EC3B96">
        <w:rPr>
          <w:rFonts w:ascii="Arial" w:hAnsi="Arial" w:cs="Arial"/>
          <w:sz w:val="22"/>
          <w:szCs w:val="22"/>
          <w:lang w:val="en-US" w:eastAsia="en-US"/>
        </w:rPr>
        <w:t xml:space="preserve">Priorities for </w:t>
      </w:r>
      <w:r w:rsidR="00B30874">
        <w:rPr>
          <w:rFonts w:ascii="Arial" w:hAnsi="Arial" w:cs="Arial"/>
          <w:sz w:val="22"/>
          <w:szCs w:val="22"/>
          <w:lang w:val="en-US" w:eastAsia="en-US"/>
        </w:rPr>
        <w:t>2011</w:t>
      </w:r>
      <w:r>
        <w:rPr>
          <w:rFonts w:ascii="Arial" w:hAnsi="Arial" w:cs="Arial"/>
          <w:sz w:val="22"/>
          <w:szCs w:val="22"/>
          <w:lang w:val="en-US" w:eastAsia="en-US"/>
        </w:rPr>
        <w:t xml:space="preserve"> - 201</w:t>
      </w:r>
      <w:r w:rsidR="00B30874">
        <w:rPr>
          <w:rFonts w:ascii="Arial" w:hAnsi="Arial" w:cs="Arial"/>
          <w:sz w:val="22"/>
          <w:szCs w:val="22"/>
          <w:lang w:val="en-US" w:eastAsia="en-US"/>
        </w:rPr>
        <w:t>2</w:t>
      </w:r>
      <w:r w:rsidRPr="008047D6">
        <w:rPr>
          <w:rFonts w:ascii="Arial" w:hAnsi="Arial" w:cs="Arial"/>
          <w:sz w:val="22"/>
          <w:szCs w:val="22"/>
          <w:lang w:val="en-US" w:eastAsia="en-US"/>
        </w:rPr>
        <w:t>:</w:t>
      </w:r>
    </w:p>
    <w:p w:rsidR="008B7A25" w:rsidRDefault="008B7A25" w:rsidP="008B7A25">
      <w:pPr>
        <w:pStyle w:val="BodyText2"/>
        <w:keepNext w:val="0"/>
        <w:keepLines w:val="0"/>
        <w:numPr>
          <w:ilvl w:val="0"/>
          <w:numId w:val="17"/>
        </w:numPr>
        <w:tabs>
          <w:tab w:val="clear" w:pos="720"/>
          <w:tab w:val="left" w:pos="540"/>
        </w:tabs>
        <w:spacing w:after="140"/>
        <w:ind w:left="539" w:hanging="539"/>
        <w:rPr>
          <w:rFonts w:ascii="Arial" w:hAnsi="Arial" w:cs="Arial"/>
          <w:sz w:val="22"/>
          <w:szCs w:val="22"/>
        </w:rPr>
      </w:pPr>
      <w:r>
        <w:rPr>
          <w:rFonts w:ascii="Arial" w:hAnsi="Arial" w:cs="Arial"/>
          <w:sz w:val="22"/>
          <w:szCs w:val="22"/>
        </w:rPr>
        <w:t>Finalise the implementation of the Supportive Brigade Practices program within volunteer brigades.</w:t>
      </w:r>
    </w:p>
    <w:p w:rsidR="008B7A25" w:rsidRPr="001D3A0B" w:rsidRDefault="008B7A25" w:rsidP="008B7A25">
      <w:pPr>
        <w:pStyle w:val="BodyText2"/>
        <w:keepNext w:val="0"/>
        <w:keepLines w:val="0"/>
        <w:numPr>
          <w:ilvl w:val="0"/>
          <w:numId w:val="17"/>
        </w:numPr>
        <w:tabs>
          <w:tab w:val="clear" w:pos="720"/>
          <w:tab w:val="left" w:pos="540"/>
        </w:tabs>
        <w:spacing w:after="140"/>
        <w:ind w:left="539" w:hanging="539"/>
        <w:rPr>
          <w:rFonts w:ascii="Arial" w:hAnsi="Arial" w:cs="Arial"/>
          <w:sz w:val="22"/>
          <w:szCs w:val="22"/>
        </w:rPr>
      </w:pPr>
      <w:r>
        <w:rPr>
          <w:rFonts w:ascii="Arial" w:hAnsi="Arial" w:cs="Arial"/>
          <w:sz w:val="22"/>
          <w:szCs w:val="22"/>
        </w:rPr>
        <w:t>Continue to i</w:t>
      </w:r>
      <w:r w:rsidRPr="001D3A0B">
        <w:rPr>
          <w:rFonts w:ascii="Arial" w:hAnsi="Arial" w:cs="Arial"/>
          <w:sz w:val="22"/>
          <w:szCs w:val="22"/>
        </w:rPr>
        <w:t xml:space="preserve">mplement </w:t>
      </w:r>
      <w:r>
        <w:rPr>
          <w:rFonts w:ascii="Arial" w:hAnsi="Arial" w:cs="Arial"/>
          <w:sz w:val="22"/>
          <w:szCs w:val="22"/>
        </w:rPr>
        <w:t>the</w:t>
      </w:r>
      <w:r w:rsidRPr="001D3A0B">
        <w:rPr>
          <w:rFonts w:ascii="Arial" w:hAnsi="Arial" w:cs="Arial"/>
          <w:sz w:val="22"/>
          <w:szCs w:val="22"/>
        </w:rPr>
        <w:t xml:space="preserve"> leadership strategy for all members.</w:t>
      </w:r>
    </w:p>
    <w:p w:rsidR="008B7A25" w:rsidRDefault="008B7A25" w:rsidP="008B7A25">
      <w:pPr>
        <w:pStyle w:val="BodyText2"/>
        <w:keepNext w:val="0"/>
        <w:keepLines w:val="0"/>
        <w:numPr>
          <w:ilvl w:val="0"/>
          <w:numId w:val="17"/>
        </w:numPr>
        <w:tabs>
          <w:tab w:val="clear" w:pos="720"/>
          <w:tab w:val="left" w:pos="540"/>
        </w:tabs>
        <w:spacing w:after="140"/>
        <w:ind w:left="539" w:hanging="539"/>
      </w:pPr>
      <w:r w:rsidRPr="00A10A27">
        <w:rPr>
          <w:rFonts w:ascii="Arial" w:hAnsi="Arial" w:cs="Arial"/>
          <w:sz w:val="22"/>
          <w:szCs w:val="22"/>
        </w:rPr>
        <w:t xml:space="preserve">Ensure that the systems, processes, skill development and support are provided to maintain the health, safety and wellbeing of all members </w:t>
      </w:r>
      <w:r>
        <w:rPr>
          <w:rFonts w:ascii="Arial" w:hAnsi="Arial" w:cs="Arial"/>
          <w:sz w:val="22"/>
          <w:szCs w:val="22"/>
        </w:rPr>
        <w:t>with a focus on safe driving, and health and wellbeing systems</w:t>
      </w:r>
      <w:r w:rsidRPr="007A19EF">
        <w:rPr>
          <w:rFonts w:ascii="Arial" w:hAnsi="Arial" w:cs="Arial"/>
          <w:sz w:val="22"/>
          <w:szCs w:val="22"/>
        </w:rPr>
        <w:t>.</w:t>
      </w:r>
    </w:p>
    <w:p w:rsidR="008B7A25" w:rsidRPr="001D3A0B" w:rsidRDefault="008B7A25" w:rsidP="008B7A25">
      <w:pPr>
        <w:pStyle w:val="BodyText2"/>
        <w:keepNext w:val="0"/>
        <w:keepLines w:val="0"/>
        <w:numPr>
          <w:ilvl w:val="0"/>
          <w:numId w:val="17"/>
        </w:numPr>
        <w:tabs>
          <w:tab w:val="clear" w:pos="720"/>
          <w:tab w:val="left" w:pos="540"/>
        </w:tabs>
        <w:spacing w:after="140"/>
        <w:ind w:left="539" w:hanging="539"/>
        <w:rPr>
          <w:rFonts w:ascii="Arial" w:hAnsi="Arial" w:cs="Arial"/>
          <w:sz w:val="22"/>
          <w:szCs w:val="22"/>
        </w:rPr>
      </w:pPr>
      <w:r w:rsidRPr="001D3A0B">
        <w:rPr>
          <w:rFonts w:ascii="Arial" w:hAnsi="Arial" w:cs="Arial"/>
          <w:sz w:val="22"/>
          <w:szCs w:val="22"/>
        </w:rPr>
        <w:t>Review the career member recruitment processes to support recruitment, selection and promotion.</w:t>
      </w:r>
    </w:p>
    <w:p w:rsidR="008B7A25" w:rsidRPr="007A19EF" w:rsidRDefault="008B7A25" w:rsidP="008B7A25">
      <w:pPr>
        <w:pStyle w:val="BodyText2"/>
        <w:keepNext w:val="0"/>
        <w:keepLines w:val="0"/>
        <w:numPr>
          <w:ilvl w:val="0"/>
          <w:numId w:val="17"/>
        </w:numPr>
        <w:tabs>
          <w:tab w:val="clear" w:pos="720"/>
          <w:tab w:val="left" w:pos="540"/>
        </w:tabs>
        <w:spacing w:after="140"/>
        <w:ind w:left="539" w:hanging="539"/>
        <w:rPr>
          <w:rFonts w:ascii="Arial" w:hAnsi="Arial" w:cs="Arial"/>
          <w:sz w:val="22"/>
          <w:szCs w:val="22"/>
        </w:rPr>
      </w:pPr>
      <w:r w:rsidRPr="001D3A0B">
        <w:rPr>
          <w:rFonts w:ascii="Arial" w:hAnsi="Arial" w:cs="Arial"/>
          <w:sz w:val="22"/>
          <w:szCs w:val="22"/>
        </w:rPr>
        <w:t>Develop and implement l</w:t>
      </w:r>
      <w:r>
        <w:rPr>
          <w:rFonts w:ascii="Arial" w:hAnsi="Arial" w:cs="Arial"/>
          <w:sz w:val="22"/>
          <w:szCs w:val="22"/>
        </w:rPr>
        <w:t>earning and development strategies including</w:t>
      </w:r>
      <w:r w:rsidRPr="007A19EF">
        <w:rPr>
          <w:rFonts w:ascii="Arial" w:hAnsi="Arial" w:cs="Arial"/>
          <w:sz w:val="22"/>
          <w:szCs w:val="22"/>
        </w:rPr>
        <w:t xml:space="preserve"> quality management system</w:t>
      </w:r>
      <w:r>
        <w:rPr>
          <w:rFonts w:ascii="Arial" w:hAnsi="Arial" w:cs="Arial"/>
          <w:sz w:val="22"/>
          <w:szCs w:val="22"/>
        </w:rPr>
        <w:t>s, improving supervisory qualifications, and the development of learning and assessment resources.</w:t>
      </w:r>
    </w:p>
    <w:p w:rsidR="008B7A25" w:rsidRPr="007A19EF" w:rsidRDefault="008B7A25" w:rsidP="008B7A25">
      <w:pPr>
        <w:pStyle w:val="BodyText2"/>
        <w:keepNext w:val="0"/>
        <w:keepLines w:val="0"/>
        <w:numPr>
          <w:ilvl w:val="0"/>
          <w:numId w:val="17"/>
        </w:numPr>
        <w:tabs>
          <w:tab w:val="clear" w:pos="720"/>
          <w:tab w:val="left" w:pos="540"/>
        </w:tabs>
        <w:spacing w:after="140"/>
        <w:ind w:left="539" w:hanging="539"/>
        <w:rPr>
          <w:rFonts w:ascii="Arial" w:hAnsi="Arial" w:cs="Arial"/>
          <w:sz w:val="22"/>
          <w:szCs w:val="22"/>
        </w:rPr>
      </w:pPr>
      <w:r w:rsidRPr="001D3A0B">
        <w:rPr>
          <w:rFonts w:ascii="Arial" w:hAnsi="Arial" w:cs="Arial"/>
          <w:sz w:val="22"/>
          <w:szCs w:val="22"/>
        </w:rPr>
        <w:t>Encourage and support values, attitudes and behaviours whic</w:t>
      </w:r>
      <w:r>
        <w:rPr>
          <w:rFonts w:ascii="Arial" w:hAnsi="Arial" w:cs="Arial"/>
          <w:sz w:val="22"/>
          <w:szCs w:val="22"/>
        </w:rPr>
        <w:t>h create a cohesive organisation committed to achieving organisational goals.</w:t>
      </w:r>
    </w:p>
    <w:p w:rsidR="00C63261" w:rsidRPr="00471D55" w:rsidRDefault="008B7A25" w:rsidP="00C63261">
      <w:pPr>
        <w:pStyle w:val="BodyText2"/>
        <w:keepNext w:val="0"/>
        <w:keepLines w:val="0"/>
        <w:numPr>
          <w:ilvl w:val="0"/>
          <w:numId w:val="17"/>
        </w:numPr>
        <w:tabs>
          <w:tab w:val="clear" w:pos="720"/>
          <w:tab w:val="left" w:pos="540"/>
        </w:tabs>
        <w:spacing w:after="140"/>
        <w:ind w:left="539" w:hanging="539"/>
        <w:rPr>
          <w:rFonts w:ascii="Arial" w:hAnsi="Arial" w:cs="Arial"/>
          <w:sz w:val="22"/>
          <w:szCs w:val="22"/>
        </w:rPr>
      </w:pPr>
      <w:r w:rsidRPr="00471D55">
        <w:rPr>
          <w:rFonts w:ascii="Arial" w:hAnsi="Arial" w:cs="Arial"/>
          <w:sz w:val="22"/>
          <w:szCs w:val="22"/>
        </w:rPr>
        <w:t>Describe and foster an organisational culture which establishes appropriate workloads, work practices and attitudes.</w:t>
      </w:r>
    </w:p>
    <w:p w:rsidR="00720882" w:rsidRPr="008047D6" w:rsidRDefault="00725497" w:rsidP="00E9527D">
      <w:pPr>
        <w:spacing w:before="240" w:after="240"/>
        <w:jc w:val="both"/>
        <w:rPr>
          <w:rFonts w:ascii="Arial" w:hAnsi="Arial" w:cs="Arial"/>
          <w:b/>
          <w:sz w:val="22"/>
          <w:szCs w:val="22"/>
        </w:rPr>
      </w:pPr>
      <w:r w:rsidRPr="008047D6">
        <w:rPr>
          <w:rFonts w:ascii="Arial" w:hAnsi="Arial" w:cs="Arial"/>
          <w:b/>
          <w:sz w:val="22"/>
          <w:szCs w:val="22"/>
          <w:u w:val="single"/>
        </w:rPr>
        <w:br w:type="page"/>
      </w:r>
      <w:bookmarkStart w:id="28" w:name="OLE_LINK1"/>
      <w:r w:rsidR="00E04C42" w:rsidRPr="008047D6">
        <w:rPr>
          <w:rFonts w:ascii="Arial" w:hAnsi="Arial" w:cs="Arial"/>
          <w:b/>
          <w:sz w:val="22"/>
          <w:szCs w:val="22"/>
        </w:rPr>
        <w:t xml:space="preserve">KEY RESULT </w:t>
      </w:r>
      <w:smartTag w:uri="urn:schemas-microsoft-com:office:smarttags" w:element="stockticker">
        <w:r w:rsidR="00E04C42" w:rsidRPr="008047D6">
          <w:rPr>
            <w:rFonts w:ascii="Arial" w:hAnsi="Arial" w:cs="Arial"/>
            <w:b/>
            <w:sz w:val="22"/>
            <w:szCs w:val="22"/>
          </w:rPr>
          <w:t>AREA</w:t>
        </w:r>
      </w:smartTag>
      <w:r w:rsidR="00E04C42" w:rsidRPr="008047D6">
        <w:rPr>
          <w:rFonts w:ascii="Arial" w:hAnsi="Arial" w:cs="Arial"/>
          <w:b/>
          <w:sz w:val="22"/>
          <w:szCs w:val="22"/>
        </w:rPr>
        <w:t xml:space="preserve"> </w:t>
      </w:r>
      <w:r w:rsidR="00266D55">
        <w:rPr>
          <w:rFonts w:ascii="Arial" w:hAnsi="Arial" w:cs="Arial"/>
          <w:b/>
          <w:sz w:val="22"/>
          <w:szCs w:val="22"/>
        </w:rPr>
        <w:t>5</w:t>
      </w:r>
    </w:p>
    <w:p w:rsidR="00720882" w:rsidRPr="008047D6" w:rsidRDefault="00495F9D" w:rsidP="00E9527D">
      <w:pPr>
        <w:pStyle w:val="Heading1"/>
        <w:spacing w:before="360" w:after="480"/>
        <w:jc w:val="center"/>
        <w:rPr>
          <w:rFonts w:ascii="Arial" w:hAnsi="Arial" w:cs="Arial"/>
          <w:bCs/>
          <w:i/>
          <w:sz w:val="22"/>
          <w:szCs w:val="22"/>
        </w:rPr>
      </w:pPr>
      <w:bookmarkStart w:id="29" w:name="_Toc288225438"/>
      <w:r>
        <w:rPr>
          <w:rFonts w:ascii="Arial" w:hAnsi="Arial" w:cs="Arial"/>
          <w:bCs/>
          <w:i/>
          <w:sz w:val="22"/>
          <w:szCs w:val="22"/>
        </w:rPr>
        <w:t>OUR RESOURCES</w:t>
      </w:r>
      <w:bookmarkEnd w:id="29"/>
    </w:p>
    <w:p w:rsidR="00430D76" w:rsidRPr="008047D6" w:rsidRDefault="00430D76" w:rsidP="00E9527D">
      <w:pPr>
        <w:pStyle w:val="Heading7"/>
        <w:spacing w:before="240" w:after="240"/>
        <w:rPr>
          <w:rFonts w:ascii="Arial" w:hAnsi="Arial" w:cs="Arial"/>
          <w:sz w:val="22"/>
          <w:szCs w:val="22"/>
          <w:lang w:val="en-US"/>
        </w:rPr>
      </w:pPr>
      <w:r w:rsidRPr="008047D6">
        <w:rPr>
          <w:rFonts w:ascii="Arial" w:hAnsi="Arial" w:cs="Arial"/>
          <w:sz w:val="22"/>
          <w:szCs w:val="22"/>
          <w:lang w:val="en-US"/>
        </w:rPr>
        <w:t>GOAL STATEMENT:</w:t>
      </w:r>
    </w:p>
    <w:p w:rsidR="00430D76" w:rsidRPr="008047D6" w:rsidRDefault="00430D76" w:rsidP="00430D76">
      <w:pPr>
        <w:rPr>
          <w:rFonts w:ascii="Arial" w:hAnsi="Arial" w:cs="Arial"/>
          <w:sz w:val="22"/>
          <w:szCs w:val="22"/>
        </w:rPr>
      </w:pPr>
      <w:r w:rsidRPr="008047D6">
        <w:rPr>
          <w:rFonts w:ascii="Arial" w:hAnsi="Arial" w:cs="Arial"/>
          <w:sz w:val="22"/>
          <w:szCs w:val="22"/>
        </w:rPr>
        <w:t>To manage our financial, information and physical resources efficiently and effectively.</w:t>
      </w:r>
    </w:p>
    <w:p w:rsidR="00430D76" w:rsidRPr="008047D6" w:rsidRDefault="00430D76" w:rsidP="00E9527D">
      <w:pPr>
        <w:pStyle w:val="BodyText3"/>
        <w:keepNext w:val="0"/>
        <w:keepLines w:val="0"/>
        <w:spacing w:before="240" w:after="240"/>
        <w:rPr>
          <w:rFonts w:ascii="Arial" w:hAnsi="Arial" w:cs="Arial"/>
          <w:sz w:val="22"/>
          <w:szCs w:val="22"/>
          <w:lang w:val="en-US"/>
        </w:rPr>
      </w:pPr>
      <w:r w:rsidRPr="008047D6">
        <w:rPr>
          <w:rFonts w:ascii="Arial" w:hAnsi="Arial" w:cs="Arial"/>
          <w:sz w:val="22"/>
          <w:szCs w:val="22"/>
          <w:lang w:val="en-US"/>
        </w:rPr>
        <w:t>OBJECTIVES:</w:t>
      </w:r>
    </w:p>
    <w:p w:rsidR="00430D76" w:rsidRPr="008047D6" w:rsidRDefault="00430D76" w:rsidP="0083415A">
      <w:pPr>
        <w:numPr>
          <w:ilvl w:val="0"/>
          <w:numId w:val="15"/>
        </w:numPr>
        <w:tabs>
          <w:tab w:val="clear" w:pos="360"/>
          <w:tab w:val="num" w:pos="540"/>
        </w:tabs>
        <w:spacing w:after="240"/>
        <w:ind w:left="539" w:hanging="539"/>
        <w:jc w:val="both"/>
        <w:rPr>
          <w:rFonts w:ascii="Arial" w:hAnsi="Arial" w:cs="Arial"/>
          <w:b/>
          <w:sz w:val="22"/>
          <w:szCs w:val="22"/>
        </w:rPr>
      </w:pPr>
      <w:r w:rsidRPr="008047D6">
        <w:rPr>
          <w:rFonts w:ascii="Arial" w:hAnsi="Arial" w:cs="Arial"/>
          <w:b/>
          <w:sz w:val="22"/>
          <w:szCs w:val="22"/>
        </w:rPr>
        <w:t xml:space="preserve">Provide </w:t>
      </w:r>
      <w:r w:rsidR="00DF78A5">
        <w:rPr>
          <w:rFonts w:ascii="Arial" w:hAnsi="Arial" w:cs="Arial"/>
          <w:b/>
          <w:sz w:val="22"/>
          <w:szCs w:val="22"/>
        </w:rPr>
        <w:t>effective management of critical assets</w:t>
      </w:r>
      <w:r w:rsidR="00266D55">
        <w:rPr>
          <w:rFonts w:ascii="Arial" w:hAnsi="Arial" w:cs="Arial"/>
          <w:b/>
          <w:sz w:val="22"/>
          <w:szCs w:val="22"/>
        </w:rPr>
        <w:t xml:space="preserve"> </w:t>
      </w:r>
      <w:r w:rsidRPr="008047D6">
        <w:rPr>
          <w:rFonts w:ascii="Arial" w:hAnsi="Arial" w:cs="Arial"/>
          <w:b/>
          <w:sz w:val="22"/>
          <w:szCs w:val="22"/>
        </w:rPr>
        <w:t>that meet</w:t>
      </w:r>
      <w:r w:rsidR="00DF78A5">
        <w:rPr>
          <w:rFonts w:ascii="Arial" w:hAnsi="Arial" w:cs="Arial"/>
          <w:b/>
          <w:sz w:val="22"/>
          <w:szCs w:val="22"/>
        </w:rPr>
        <w:t>s</w:t>
      </w:r>
      <w:r w:rsidRPr="008047D6">
        <w:rPr>
          <w:rFonts w:ascii="Arial" w:hAnsi="Arial" w:cs="Arial"/>
          <w:b/>
          <w:sz w:val="22"/>
          <w:szCs w:val="22"/>
        </w:rPr>
        <w:t xml:space="preserve"> the needs of </w:t>
      </w:r>
      <w:r w:rsidR="00DF78A5">
        <w:rPr>
          <w:rFonts w:ascii="Arial" w:hAnsi="Arial" w:cs="Arial"/>
          <w:b/>
          <w:sz w:val="22"/>
          <w:szCs w:val="22"/>
        </w:rPr>
        <w:t>the organisation</w:t>
      </w:r>
      <w:r w:rsidR="007361D3" w:rsidRPr="008047D6">
        <w:rPr>
          <w:rFonts w:ascii="Arial" w:hAnsi="Arial" w:cs="Arial"/>
          <w:b/>
          <w:sz w:val="22"/>
          <w:szCs w:val="22"/>
        </w:rPr>
        <w:t>.</w:t>
      </w:r>
    </w:p>
    <w:p w:rsidR="00430D76" w:rsidRPr="008047D6" w:rsidRDefault="00430D76" w:rsidP="0083415A">
      <w:pPr>
        <w:numPr>
          <w:ilvl w:val="0"/>
          <w:numId w:val="15"/>
        </w:numPr>
        <w:tabs>
          <w:tab w:val="clear" w:pos="360"/>
          <w:tab w:val="num" w:pos="540"/>
        </w:tabs>
        <w:spacing w:after="240"/>
        <w:ind w:left="539" w:hanging="539"/>
        <w:jc w:val="both"/>
        <w:rPr>
          <w:rFonts w:ascii="Arial" w:hAnsi="Arial" w:cs="Arial"/>
          <w:b/>
          <w:sz w:val="22"/>
          <w:szCs w:val="22"/>
        </w:rPr>
      </w:pPr>
      <w:r w:rsidRPr="008047D6">
        <w:rPr>
          <w:rFonts w:ascii="Arial" w:hAnsi="Arial" w:cs="Arial"/>
          <w:b/>
          <w:sz w:val="22"/>
          <w:szCs w:val="22"/>
        </w:rPr>
        <w:t xml:space="preserve">Provide adequate funding to ensure the </w:t>
      </w:r>
      <w:r w:rsidR="00636948">
        <w:rPr>
          <w:rFonts w:ascii="Arial" w:hAnsi="Arial" w:cs="Arial"/>
          <w:b/>
          <w:sz w:val="22"/>
          <w:szCs w:val="22"/>
        </w:rPr>
        <w:t>Commission</w:t>
      </w:r>
      <w:r w:rsidR="00636948" w:rsidRPr="008047D6">
        <w:rPr>
          <w:rFonts w:ascii="Arial" w:hAnsi="Arial" w:cs="Arial"/>
          <w:b/>
          <w:sz w:val="22"/>
          <w:szCs w:val="22"/>
        </w:rPr>
        <w:t xml:space="preserve"> </w:t>
      </w:r>
      <w:r w:rsidRPr="008047D6">
        <w:rPr>
          <w:rFonts w:ascii="Arial" w:hAnsi="Arial" w:cs="Arial"/>
          <w:b/>
          <w:sz w:val="22"/>
          <w:szCs w:val="22"/>
        </w:rPr>
        <w:t>is able to achieve its corporate objectives</w:t>
      </w:r>
      <w:r w:rsidR="007361D3" w:rsidRPr="008047D6">
        <w:rPr>
          <w:rFonts w:ascii="Arial" w:hAnsi="Arial" w:cs="Arial"/>
          <w:b/>
          <w:sz w:val="22"/>
          <w:szCs w:val="22"/>
        </w:rPr>
        <w:t>.</w:t>
      </w:r>
    </w:p>
    <w:p w:rsidR="00A27BBA" w:rsidRPr="00012D80" w:rsidRDefault="00A27BBA" w:rsidP="0083415A">
      <w:pPr>
        <w:numPr>
          <w:ilvl w:val="0"/>
          <w:numId w:val="18"/>
        </w:numPr>
        <w:tabs>
          <w:tab w:val="clear" w:pos="720"/>
          <w:tab w:val="num" w:pos="540"/>
        </w:tabs>
        <w:spacing w:after="240"/>
        <w:ind w:left="539" w:hanging="539"/>
        <w:rPr>
          <w:rFonts w:ascii="Arial" w:hAnsi="Arial" w:cs="Arial"/>
          <w:b/>
          <w:sz w:val="22"/>
          <w:szCs w:val="22"/>
        </w:rPr>
      </w:pPr>
      <w:r w:rsidRPr="00012D80">
        <w:rPr>
          <w:rFonts w:ascii="Arial" w:hAnsi="Arial" w:cs="Arial"/>
          <w:b/>
          <w:sz w:val="22"/>
          <w:szCs w:val="22"/>
        </w:rPr>
        <w:t>Develop a comprehensive resource allocation model to assist business units to achieve organisational outcomes.</w:t>
      </w:r>
    </w:p>
    <w:p w:rsidR="00A27BBA" w:rsidRPr="00012D80" w:rsidRDefault="00A27BBA" w:rsidP="0083415A">
      <w:pPr>
        <w:numPr>
          <w:ilvl w:val="0"/>
          <w:numId w:val="18"/>
        </w:numPr>
        <w:tabs>
          <w:tab w:val="clear" w:pos="720"/>
          <w:tab w:val="num" w:pos="540"/>
        </w:tabs>
        <w:spacing w:after="240"/>
        <w:ind w:left="539" w:hanging="539"/>
        <w:rPr>
          <w:rFonts w:ascii="Arial" w:hAnsi="Arial" w:cs="Arial"/>
          <w:b/>
          <w:sz w:val="22"/>
          <w:szCs w:val="22"/>
        </w:rPr>
      </w:pPr>
      <w:r w:rsidRPr="00012D80">
        <w:rPr>
          <w:rFonts w:ascii="Arial" w:hAnsi="Arial" w:cs="Arial"/>
          <w:b/>
          <w:sz w:val="22"/>
          <w:szCs w:val="22"/>
        </w:rPr>
        <w:t xml:space="preserve">Identify and pursue all funding options for projects and programs that would assist the </w:t>
      </w:r>
      <w:r w:rsidR="00336D6E" w:rsidRPr="00012D80">
        <w:rPr>
          <w:rFonts w:ascii="Arial" w:hAnsi="Arial" w:cs="Arial"/>
          <w:b/>
          <w:sz w:val="22"/>
          <w:szCs w:val="22"/>
        </w:rPr>
        <w:t xml:space="preserve">Commission </w:t>
      </w:r>
      <w:r w:rsidRPr="00012D80">
        <w:rPr>
          <w:rFonts w:ascii="Arial" w:hAnsi="Arial" w:cs="Arial"/>
          <w:b/>
          <w:sz w:val="22"/>
          <w:szCs w:val="22"/>
        </w:rPr>
        <w:t>to achieve its objectives.</w:t>
      </w:r>
    </w:p>
    <w:p w:rsidR="00430D76" w:rsidRPr="008047D6" w:rsidRDefault="00430D76" w:rsidP="00E9527D">
      <w:pPr>
        <w:pStyle w:val="BodyText"/>
        <w:keepNext w:val="0"/>
        <w:keepLines w:val="0"/>
        <w:spacing w:before="240" w:after="240"/>
        <w:rPr>
          <w:rFonts w:ascii="Arial" w:hAnsi="Arial" w:cs="Arial"/>
          <w:b/>
          <w:sz w:val="22"/>
          <w:szCs w:val="22"/>
        </w:rPr>
      </w:pPr>
      <w:r w:rsidRPr="008047D6">
        <w:rPr>
          <w:rFonts w:ascii="Arial" w:hAnsi="Arial" w:cs="Arial"/>
          <w:b/>
          <w:sz w:val="22"/>
          <w:szCs w:val="22"/>
        </w:rPr>
        <w:t>Key Performance Indicators:</w:t>
      </w:r>
    </w:p>
    <w:p w:rsidR="00430D76" w:rsidRPr="008047D6" w:rsidRDefault="00430D76"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sidRPr="008047D6">
        <w:rPr>
          <w:rFonts w:ascii="Arial" w:hAnsi="Arial" w:cs="Arial"/>
          <w:sz w:val="22"/>
          <w:szCs w:val="22"/>
        </w:rPr>
        <w:t>The number of</w:t>
      </w:r>
      <w:r w:rsidR="00BD3030">
        <w:rPr>
          <w:rFonts w:ascii="Arial" w:hAnsi="Arial" w:cs="Arial"/>
          <w:sz w:val="22"/>
          <w:szCs w:val="22"/>
        </w:rPr>
        <w:t xml:space="preserve"> planned and unplanned outage hours that impact on service delivery.</w:t>
      </w:r>
    </w:p>
    <w:p w:rsidR="00430D76" w:rsidRPr="008047D6" w:rsidRDefault="005F1540"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Pr>
          <w:rFonts w:ascii="Arial" w:hAnsi="Arial" w:cs="Arial"/>
          <w:sz w:val="22"/>
          <w:szCs w:val="22"/>
        </w:rPr>
        <w:t>The i</w:t>
      </w:r>
      <w:r w:rsidR="00BD3030">
        <w:rPr>
          <w:rFonts w:ascii="Arial" w:hAnsi="Arial" w:cs="Arial"/>
          <w:sz w:val="22"/>
          <w:szCs w:val="22"/>
        </w:rPr>
        <w:t>nability of a fire appliance to respond to an incident</w:t>
      </w:r>
      <w:r w:rsidR="00430D76" w:rsidRPr="008047D6">
        <w:rPr>
          <w:rFonts w:ascii="Arial" w:hAnsi="Arial" w:cs="Arial"/>
          <w:sz w:val="22"/>
          <w:szCs w:val="22"/>
        </w:rPr>
        <w:t>.</w:t>
      </w:r>
    </w:p>
    <w:p w:rsidR="00430D76" w:rsidRPr="008047D6" w:rsidRDefault="00BD3030"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Pr>
          <w:rFonts w:ascii="Arial" w:hAnsi="Arial" w:cs="Arial"/>
          <w:sz w:val="22"/>
          <w:szCs w:val="22"/>
        </w:rPr>
        <w:t>Adherence to customer service charter objectives</w:t>
      </w:r>
      <w:r w:rsidR="00430D76" w:rsidRPr="008047D6">
        <w:rPr>
          <w:rFonts w:ascii="Arial" w:hAnsi="Arial" w:cs="Arial"/>
          <w:sz w:val="22"/>
          <w:szCs w:val="22"/>
        </w:rPr>
        <w:t>.</w:t>
      </w:r>
    </w:p>
    <w:p w:rsidR="00430D76" w:rsidRDefault="00BD3030"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Pr>
          <w:rFonts w:ascii="Arial" w:hAnsi="Arial" w:cs="Arial"/>
          <w:sz w:val="22"/>
          <w:szCs w:val="22"/>
        </w:rPr>
        <w:t xml:space="preserve">Percentage of accounts paid outside established </w:t>
      </w:r>
      <w:r w:rsidR="00430D76" w:rsidRPr="008047D6">
        <w:rPr>
          <w:rFonts w:ascii="Arial" w:hAnsi="Arial" w:cs="Arial"/>
          <w:sz w:val="22"/>
          <w:szCs w:val="22"/>
        </w:rPr>
        <w:t>timeframes.</w:t>
      </w:r>
    </w:p>
    <w:p w:rsidR="00BD3030" w:rsidRPr="008047D6" w:rsidRDefault="00BD3030" w:rsidP="0083415A">
      <w:pPr>
        <w:pStyle w:val="BodyText2"/>
        <w:keepNext w:val="0"/>
        <w:keepLines w:val="0"/>
        <w:numPr>
          <w:ilvl w:val="0"/>
          <w:numId w:val="16"/>
        </w:numPr>
        <w:tabs>
          <w:tab w:val="clear" w:pos="266"/>
          <w:tab w:val="num" w:pos="540"/>
        </w:tabs>
        <w:spacing w:after="120"/>
        <w:ind w:left="540" w:hanging="540"/>
        <w:rPr>
          <w:rFonts w:ascii="Arial" w:hAnsi="Arial" w:cs="Arial"/>
          <w:sz w:val="22"/>
          <w:szCs w:val="22"/>
        </w:rPr>
      </w:pPr>
      <w:r>
        <w:rPr>
          <w:rFonts w:ascii="Arial" w:hAnsi="Arial" w:cs="Arial"/>
          <w:sz w:val="22"/>
          <w:szCs w:val="22"/>
        </w:rPr>
        <w:t xml:space="preserve">Percentage variance of budgets to actuals. </w:t>
      </w:r>
    </w:p>
    <w:bookmarkEnd w:id="28"/>
    <w:p w:rsidR="00430D76" w:rsidRPr="008047D6" w:rsidRDefault="00430D76" w:rsidP="00E9527D">
      <w:pPr>
        <w:pStyle w:val="Heading7"/>
        <w:spacing w:before="240" w:after="240"/>
        <w:rPr>
          <w:rFonts w:ascii="Arial" w:hAnsi="Arial" w:cs="Arial"/>
          <w:sz w:val="22"/>
          <w:szCs w:val="22"/>
          <w:lang w:val="en-US" w:eastAsia="en-US"/>
        </w:rPr>
      </w:pPr>
      <w:r w:rsidRPr="00EC3B96">
        <w:rPr>
          <w:rFonts w:ascii="Arial" w:hAnsi="Arial" w:cs="Arial"/>
          <w:sz w:val="22"/>
          <w:szCs w:val="22"/>
          <w:lang w:val="en-US" w:eastAsia="en-US"/>
        </w:rPr>
        <w:t xml:space="preserve">Priorities for </w:t>
      </w:r>
      <w:r w:rsidR="00715677">
        <w:rPr>
          <w:rFonts w:ascii="Arial" w:hAnsi="Arial" w:cs="Arial"/>
          <w:sz w:val="22"/>
          <w:szCs w:val="22"/>
          <w:lang w:val="en-US" w:eastAsia="en-US"/>
        </w:rPr>
        <w:t>2011-12</w:t>
      </w:r>
      <w:r w:rsidR="00D4559A" w:rsidRPr="008047D6">
        <w:rPr>
          <w:rFonts w:ascii="Arial" w:hAnsi="Arial" w:cs="Arial"/>
          <w:sz w:val="22"/>
          <w:szCs w:val="22"/>
          <w:lang w:val="en-US" w:eastAsia="en-US"/>
        </w:rPr>
        <w:t>:</w:t>
      </w:r>
    </w:p>
    <w:p w:rsidR="00D40EA8" w:rsidRDefault="009674F0"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Pr>
          <w:rFonts w:ascii="Arial" w:hAnsi="Arial" w:cs="Arial"/>
          <w:sz w:val="22"/>
          <w:szCs w:val="22"/>
        </w:rPr>
        <w:t xml:space="preserve">Continue with enhancements to </w:t>
      </w:r>
      <w:r w:rsidR="00264680">
        <w:rPr>
          <w:rFonts w:ascii="Arial" w:hAnsi="Arial" w:cs="Arial"/>
          <w:sz w:val="22"/>
          <w:szCs w:val="22"/>
        </w:rPr>
        <w:t xml:space="preserve">the </w:t>
      </w:r>
      <w:r>
        <w:rPr>
          <w:rFonts w:ascii="Arial" w:hAnsi="Arial" w:cs="Arial"/>
          <w:sz w:val="22"/>
          <w:szCs w:val="22"/>
        </w:rPr>
        <w:t>new financial system.</w:t>
      </w:r>
    </w:p>
    <w:p w:rsidR="00430D76" w:rsidRPr="008047D6" w:rsidRDefault="00430D76"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8047D6">
        <w:rPr>
          <w:rFonts w:ascii="Arial" w:hAnsi="Arial" w:cs="Arial"/>
          <w:sz w:val="22"/>
          <w:szCs w:val="22"/>
        </w:rPr>
        <w:t>Continue to assess and report on budget performance against set targets.</w:t>
      </w:r>
    </w:p>
    <w:p w:rsidR="00430D76" w:rsidRPr="008047D6" w:rsidRDefault="009F3B7B"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8047D6">
        <w:rPr>
          <w:rFonts w:ascii="Arial" w:hAnsi="Arial" w:cs="Arial"/>
          <w:sz w:val="22"/>
          <w:szCs w:val="22"/>
        </w:rPr>
        <w:t>Continue to u</w:t>
      </w:r>
      <w:r w:rsidR="00430D76" w:rsidRPr="008047D6">
        <w:rPr>
          <w:rFonts w:ascii="Arial" w:hAnsi="Arial" w:cs="Arial"/>
          <w:sz w:val="22"/>
          <w:szCs w:val="22"/>
        </w:rPr>
        <w:t>pdate and implement five year capital rolling build programs for fire appliances and buildings.</w:t>
      </w:r>
    </w:p>
    <w:p w:rsidR="00430D76" w:rsidRDefault="00430D76"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8047D6">
        <w:rPr>
          <w:rFonts w:ascii="Arial" w:hAnsi="Arial" w:cs="Arial"/>
          <w:sz w:val="22"/>
          <w:szCs w:val="22"/>
        </w:rPr>
        <w:t>Continue to develop intranet and internet services.</w:t>
      </w:r>
    </w:p>
    <w:p w:rsidR="00A27BBA" w:rsidRDefault="009674F0"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Pr>
          <w:rFonts w:ascii="Arial" w:hAnsi="Arial" w:cs="Arial"/>
          <w:sz w:val="22"/>
          <w:szCs w:val="22"/>
        </w:rPr>
        <w:t>Continue to i</w:t>
      </w:r>
      <w:r w:rsidRPr="00A27BBA">
        <w:rPr>
          <w:rFonts w:ascii="Arial" w:hAnsi="Arial" w:cs="Arial"/>
          <w:sz w:val="22"/>
          <w:szCs w:val="22"/>
        </w:rPr>
        <w:t xml:space="preserve">dentify </w:t>
      </w:r>
      <w:r w:rsidR="00A27BBA" w:rsidRPr="00A27BBA">
        <w:rPr>
          <w:rFonts w:ascii="Arial" w:hAnsi="Arial" w:cs="Arial"/>
          <w:sz w:val="22"/>
          <w:szCs w:val="22"/>
        </w:rPr>
        <w:t>and seek funding for future projects</w:t>
      </w:r>
      <w:r w:rsidR="00A27BBA">
        <w:rPr>
          <w:rFonts w:ascii="Arial" w:hAnsi="Arial" w:cs="Arial"/>
          <w:sz w:val="22"/>
          <w:szCs w:val="22"/>
        </w:rPr>
        <w:t xml:space="preserve"> including </w:t>
      </w:r>
      <w:r w:rsidR="00A27BBA" w:rsidRPr="00A27BBA">
        <w:rPr>
          <w:rFonts w:ascii="Arial" w:hAnsi="Arial" w:cs="Arial"/>
          <w:sz w:val="22"/>
          <w:szCs w:val="22"/>
        </w:rPr>
        <w:t>s</w:t>
      </w:r>
      <w:r w:rsidR="00A27BBA">
        <w:rPr>
          <w:rFonts w:ascii="Arial" w:hAnsi="Arial" w:cs="Arial"/>
          <w:sz w:val="22"/>
          <w:szCs w:val="22"/>
        </w:rPr>
        <w:t xml:space="preserve">kill development and capability, </w:t>
      </w:r>
      <w:r w:rsidR="008A75E5">
        <w:rPr>
          <w:rFonts w:ascii="Arial" w:hAnsi="Arial" w:cs="Arial"/>
          <w:sz w:val="22"/>
          <w:szCs w:val="22"/>
        </w:rPr>
        <w:t>and environmental responsibilities.</w:t>
      </w:r>
    </w:p>
    <w:p w:rsidR="00A27BBA" w:rsidRPr="008047D6" w:rsidRDefault="00220551"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Pr>
          <w:rFonts w:ascii="Arial" w:hAnsi="Arial" w:cs="Arial"/>
          <w:sz w:val="22"/>
          <w:szCs w:val="22"/>
        </w:rPr>
        <w:t>Continue to</w:t>
      </w:r>
      <w:r w:rsidR="00A27BBA">
        <w:rPr>
          <w:rFonts w:ascii="Arial" w:hAnsi="Arial" w:cs="Arial"/>
          <w:sz w:val="22"/>
          <w:szCs w:val="22"/>
        </w:rPr>
        <w:t xml:space="preserve"> </w:t>
      </w:r>
      <w:r>
        <w:rPr>
          <w:rFonts w:ascii="Arial" w:hAnsi="Arial" w:cs="Arial"/>
          <w:sz w:val="22"/>
          <w:szCs w:val="22"/>
        </w:rPr>
        <w:t xml:space="preserve">review </w:t>
      </w:r>
      <w:r w:rsidR="00A27BBA">
        <w:rPr>
          <w:rFonts w:ascii="Arial" w:hAnsi="Arial" w:cs="Arial"/>
          <w:sz w:val="22"/>
          <w:szCs w:val="22"/>
        </w:rPr>
        <w:t>current resource allocation models and their appropriateness</w:t>
      </w:r>
      <w:r w:rsidR="002A67D3">
        <w:rPr>
          <w:rFonts w:ascii="Arial" w:hAnsi="Arial" w:cs="Arial"/>
          <w:sz w:val="22"/>
          <w:szCs w:val="22"/>
        </w:rPr>
        <w:t>.</w:t>
      </w:r>
    </w:p>
    <w:p w:rsidR="009E07BA" w:rsidRPr="00266D55" w:rsidRDefault="00C74A2F" w:rsidP="00A85F83">
      <w:pPr>
        <w:pStyle w:val="Heading1"/>
        <w:tabs>
          <w:tab w:val="left" w:pos="567"/>
        </w:tabs>
        <w:spacing w:before="360" w:after="240"/>
        <w:rPr>
          <w:rFonts w:ascii="Arial" w:hAnsi="Arial" w:cs="Arial"/>
          <w:sz w:val="22"/>
          <w:szCs w:val="22"/>
        </w:rPr>
      </w:pPr>
      <w:r>
        <w:br w:type="page"/>
      </w:r>
      <w:bookmarkStart w:id="30" w:name="_Toc477750223"/>
      <w:bookmarkStart w:id="31" w:name="_Toc509828797"/>
      <w:bookmarkStart w:id="32" w:name="_Toc288225439"/>
      <w:r w:rsidR="009E07BA" w:rsidRPr="00266D55">
        <w:rPr>
          <w:rFonts w:ascii="Arial" w:hAnsi="Arial" w:cs="Arial"/>
          <w:sz w:val="22"/>
          <w:szCs w:val="22"/>
        </w:rPr>
        <w:t>7.</w:t>
      </w:r>
      <w:r w:rsidR="009E07BA" w:rsidRPr="00266D55">
        <w:rPr>
          <w:rFonts w:ascii="Arial" w:hAnsi="Arial" w:cs="Arial"/>
          <w:sz w:val="22"/>
          <w:szCs w:val="22"/>
        </w:rPr>
        <w:tab/>
        <w:t>PRICING ISSUES</w:t>
      </w:r>
      <w:bookmarkEnd w:id="30"/>
      <w:bookmarkEnd w:id="31"/>
      <w:bookmarkEnd w:id="32"/>
    </w:p>
    <w:p w:rsidR="009E07BA" w:rsidRPr="008047D6" w:rsidRDefault="009E07BA" w:rsidP="007C73EC">
      <w:pPr>
        <w:pStyle w:val="BodyText"/>
        <w:spacing w:after="120"/>
        <w:rPr>
          <w:rFonts w:ascii="Arial" w:hAnsi="Arial" w:cs="Arial"/>
          <w:sz w:val="22"/>
          <w:szCs w:val="22"/>
        </w:rPr>
      </w:pPr>
      <w:r w:rsidRPr="008047D6">
        <w:rPr>
          <w:rFonts w:ascii="Arial" w:hAnsi="Arial" w:cs="Arial"/>
          <w:sz w:val="22"/>
          <w:szCs w:val="22"/>
        </w:rPr>
        <w:t>The pricing and costing policies of the Commission are expected to be determined primarily by outside market forces and the ability of the user to pay for services. Generally the Commission bases its price increases on changes to the Consumer Price Index (</w:t>
      </w:r>
      <w:smartTag w:uri="urn:schemas-microsoft-com:office:smarttags" w:element="stockticker">
        <w:r w:rsidRPr="008047D6">
          <w:rPr>
            <w:rFonts w:ascii="Arial" w:hAnsi="Arial" w:cs="Arial"/>
            <w:sz w:val="22"/>
            <w:szCs w:val="22"/>
          </w:rPr>
          <w:t>CPI</w:t>
        </w:r>
      </w:smartTag>
      <w:r w:rsidRPr="008047D6">
        <w:rPr>
          <w:rFonts w:ascii="Arial" w:hAnsi="Arial" w:cs="Arial"/>
          <w:sz w:val="22"/>
          <w:szCs w:val="22"/>
        </w:rPr>
        <w:t>).</w:t>
      </w:r>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 xml:space="preserve">Outside market forces determine the pricing policy for the TasFire Equipment and TasFire Training </w:t>
      </w:r>
      <w:r w:rsidR="00636948">
        <w:rPr>
          <w:rFonts w:ascii="Arial" w:hAnsi="Arial" w:cs="Arial"/>
          <w:sz w:val="22"/>
          <w:szCs w:val="22"/>
        </w:rPr>
        <w:t>u</w:t>
      </w:r>
      <w:r w:rsidR="00636948" w:rsidRPr="008047D6">
        <w:rPr>
          <w:rFonts w:ascii="Arial" w:hAnsi="Arial" w:cs="Arial"/>
          <w:sz w:val="22"/>
          <w:szCs w:val="22"/>
        </w:rPr>
        <w:t>nits</w:t>
      </w:r>
      <w:r w:rsidRPr="008047D6">
        <w:rPr>
          <w:rFonts w:ascii="Arial" w:hAnsi="Arial" w:cs="Arial"/>
          <w:sz w:val="22"/>
          <w:szCs w:val="22"/>
        </w:rPr>
        <w:t>. Both are required to recover costs and operate as independent financial units. Both provide valuable fire safety services and education to the community. To date the indirect benefit to the Commission and the community has not been measured. Pricing for both units is commercially based.</w:t>
      </w:r>
    </w:p>
    <w:p w:rsidR="009E07BA" w:rsidRPr="008047D6" w:rsidRDefault="009E07BA" w:rsidP="00A85F83">
      <w:pPr>
        <w:spacing w:after="100" w:afterAutospacing="1"/>
        <w:jc w:val="both"/>
        <w:rPr>
          <w:rFonts w:ascii="Arial" w:hAnsi="Arial" w:cs="Arial"/>
          <w:sz w:val="22"/>
          <w:szCs w:val="22"/>
        </w:rPr>
      </w:pPr>
      <w:r w:rsidRPr="008047D6">
        <w:rPr>
          <w:rFonts w:ascii="Arial" w:hAnsi="Arial" w:cs="Arial"/>
          <w:sz w:val="22"/>
          <w:szCs w:val="22"/>
        </w:rPr>
        <w:t>Whilst it may be considered that the Commission operates in a monopoly environment, the Act ensures accountability as the Budget is required to be approved by the Minister following consultation with the Treasurer. The only area which the Commission has flexibility to increase its revenue relates to the fire service contribution on land</w:t>
      </w:r>
      <w:r w:rsidR="00863A6E" w:rsidRPr="008047D6">
        <w:rPr>
          <w:rFonts w:ascii="Arial" w:hAnsi="Arial" w:cs="Arial"/>
          <w:sz w:val="22"/>
          <w:szCs w:val="22"/>
        </w:rPr>
        <w:t>.</w:t>
      </w:r>
    </w:p>
    <w:p w:rsidR="009E07BA" w:rsidRPr="008047D6" w:rsidRDefault="009E07BA" w:rsidP="00750FE4">
      <w:pPr>
        <w:pStyle w:val="Heading1"/>
        <w:tabs>
          <w:tab w:val="left" w:pos="567"/>
        </w:tabs>
        <w:spacing w:before="360" w:after="240"/>
        <w:rPr>
          <w:rFonts w:ascii="Arial" w:hAnsi="Arial" w:cs="Arial"/>
          <w:sz w:val="22"/>
          <w:szCs w:val="22"/>
        </w:rPr>
      </w:pPr>
      <w:bookmarkStart w:id="33" w:name="_Toc477750224"/>
      <w:bookmarkStart w:id="34" w:name="_Toc509828798"/>
      <w:bookmarkStart w:id="35" w:name="_Toc288225440"/>
      <w:r w:rsidRPr="008047D6">
        <w:rPr>
          <w:rFonts w:ascii="Arial" w:hAnsi="Arial" w:cs="Arial"/>
          <w:sz w:val="22"/>
          <w:szCs w:val="22"/>
        </w:rPr>
        <w:t>8.</w:t>
      </w:r>
      <w:r w:rsidRPr="008047D6">
        <w:rPr>
          <w:rFonts w:ascii="Arial" w:hAnsi="Arial" w:cs="Arial"/>
          <w:sz w:val="22"/>
          <w:szCs w:val="22"/>
        </w:rPr>
        <w:tab/>
        <w:t>COMMUNITY SERVICE REQUIREMENT</w:t>
      </w:r>
      <w:bookmarkEnd w:id="33"/>
      <w:bookmarkEnd w:id="34"/>
      <w:bookmarkEnd w:id="35"/>
    </w:p>
    <w:p w:rsidR="009E07BA" w:rsidRPr="008047D6" w:rsidRDefault="009E07BA" w:rsidP="00A85F83">
      <w:pPr>
        <w:spacing w:after="100" w:afterAutospacing="1"/>
        <w:ind w:right="6"/>
        <w:jc w:val="both"/>
        <w:rPr>
          <w:rFonts w:ascii="Arial" w:hAnsi="Arial" w:cs="Arial"/>
          <w:sz w:val="22"/>
          <w:szCs w:val="22"/>
        </w:rPr>
      </w:pPr>
      <w:r w:rsidRPr="008047D6">
        <w:rPr>
          <w:rFonts w:ascii="Arial" w:hAnsi="Arial" w:cs="Arial"/>
          <w:sz w:val="22"/>
          <w:szCs w:val="22"/>
        </w:rPr>
        <w:t xml:space="preserve">The Commission is required under the </w:t>
      </w:r>
      <w:r w:rsidRPr="008047D6">
        <w:rPr>
          <w:rFonts w:ascii="Arial" w:hAnsi="Arial" w:cs="Arial"/>
          <w:i/>
          <w:sz w:val="22"/>
          <w:szCs w:val="22"/>
        </w:rPr>
        <w:t>Fire Service Act 1979</w:t>
      </w:r>
      <w:r w:rsidRPr="008047D6">
        <w:rPr>
          <w:rFonts w:ascii="Arial" w:hAnsi="Arial" w:cs="Arial"/>
          <w:sz w:val="22"/>
          <w:szCs w:val="22"/>
        </w:rPr>
        <w:t xml:space="preserve"> to provide pensioner rebates. This is considered to be a community service legislative requirement. The cost of this service, of which the Commission has no control, is reflected in the financial statements of the Commission.</w:t>
      </w:r>
    </w:p>
    <w:p w:rsidR="009E07BA" w:rsidRPr="008047D6" w:rsidRDefault="009E07BA" w:rsidP="00A85F83">
      <w:pPr>
        <w:pStyle w:val="Heading1"/>
        <w:tabs>
          <w:tab w:val="left" w:pos="567"/>
        </w:tabs>
        <w:spacing w:before="240" w:after="360"/>
        <w:rPr>
          <w:rFonts w:ascii="Arial" w:hAnsi="Arial" w:cs="Arial"/>
          <w:sz w:val="22"/>
          <w:szCs w:val="22"/>
        </w:rPr>
      </w:pPr>
      <w:bookmarkStart w:id="36" w:name="_Toc477750225"/>
      <w:bookmarkStart w:id="37" w:name="_Toc509828799"/>
      <w:bookmarkStart w:id="38" w:name="_Toc288225441"/>
      <w:r w:rsidRPr="008047D6">
        <w:rPr>
          <w:rFonts w:ascii="Arial" w:hAnsi="Arial" w:cs="Arial"/>
          <w:sz w:val="22"/>
          <w:szCs w:val="22"/>
        </w:rPr>
        <w:t>9.</w:t>
      </w:r>
      <w:r w:rsidRPr="008047D6">
        <w:rPr>
          <w:rFonts w:ascii="Arial" w:hAnsi="Arial" w:cs="Arial"/>
          <w:sz w:val="22"/>
          <w:szCs w:val="22"/>
        </w:rPr>
        <w:tab/>
        <w:t>ACCOUNTING POLICIES</w:t>
      </w:r>
      <w:bookmarkEnd w:id="36"/>
      <w:bookmarkEnd w:id="37"/>
      <w:bookmarkEnd w:id="38"/>
    </w:p>
    <w:p w:rsidR="009E07BA" w:rsidRPr="007A19EF" w:rsidRDefault="009E07BA" w:rsidP="009E07BA">
      <w:pPr>
        <w:keepNext/>
        <w:keepLines/>
        <w:tabs>
          <w:tab w:val="left" w:pos="567"/>
        </w:tabs>
        <w:spacing w:before="120" w:after="240"/>
        <w:ind w:right="6"/>
        <w:jc w:val="both"/>
        <w:rPr>
          <w:rFonts w:ascii="Arial" w:hAnsi="Arial" w:cs="Arial"/>
          <w:b/>
          <w:sz w:val="22"/>
          <w:szCs w:val="22"/>
        </w:rPr>
      </w:pPr>
      <w:r w:rsidRPr="007A19EF">
        <w:rPr>
          <w:rFonts w:ascii="Arial" w:hAnsi="Arial" w:cs="Arial"/>
          <w:b/>
          <w:sz w:val="22"/>
          <w:szCs w:val="22"/>
        </w:rPr>
        <w:t>9.1</w:t>
      </w:r>
      <w:r w:rsidRPr="007A19EF">
        <w:rPr>
          <w:rFonts w:ascii="Arial" w:hAnsi="Arial" w:cs="Arial"/>
          <w:b/>
          <w:sz w:val="22"/>
          <w:szCs w:val="22"/>
        </w:rPr>
        <w:tab/>
        <w:t>Statement of Accounting Policies</w:t>
      </w:r>
    </w:p>
    <w:p w:rsidR="009E07BA" w:rsidRPr="007A19EF" w:rsidRDefault="009E07BA" w:rsidP="00C84B96">
      <w:pPr>
        <w:keepNext/>
        <w:keepLines/>
        <w:tabs>
          <w:tab w:val="left" w:pos="567"/>
        </w:tabs>
        <w:spacing w:after="120"/>
        <w:ind w:right="6"/>
        <w:jc w:val="both"/>
        <w:rPr>
          <w:rFonts w:ascii="Arial" w:hAnsi="Arial" w:cs="Arial"/>
          <w:b/>
          <w:sz w:val="22"/>
          <w:szCs w:val="22"/>
        </w:rPr>
      </w:pPr>
      <w:r w:rsidRPr="007A19EF">
        <w:rPr>
          <w:rFonts w:ascii="Arial" w:hAnsi="Arial" w:cs="Arial"/>
          <w:b/>
          <w:sz w:val="22"/>
          <w:szCs w:val="22"/>
        </w:rPr>
        <w:t>a)</w:t>
      </w:r>
      <w:r w:rsidRPr="007A19EF">
        <w:rPr>
          <w:rFonts w:ascii="Arial" w:hAnsi="Arial" w:cs="Arial"/>
          <w:b/>
          <w:sz w:val="22"/>
          <w:szCs w:val="22"/>
        </w:rPr>
        <w:tab/>
        <w:t>Basis of Financial Statements</w:t>
      </w:r>
    </w:p>
    <w:p w:rsidR="009E07BA" w:rsidRPr="007A19EF" w:rsidRDefault="009E07BA" w:rsidP="009E07BA">
      <w:pPr>
        <w:keepNext/>
        <w:keepLines/>
        <w:tabs>
          <w:tab w:val="left" w:pos="567"/>
        </w:tabs>
        <w:spacing w:after="120"/>
        <w:ind w:left="567" w:hanging="567"/>
        <w:jc w:val="both"/>
        <w:rPr>
          <w:rFonts w:ascii="Arial" w:hAnsi="Arial" w:cs="Arial"/>
          <w:sz w:val="22"/>
          <w:szCs w:val="22"/>
        </w:rPr>
      </w:pPr>
      <w:r w:rsidRPr="007A19EF">
        <w:rPr>
          <w:rFonts w:ascii="Arial" w:hAnsi="Arial" w:cs="Arial"/>
          <w:sz w:val="22"/>
          <w:szCs w:val="22"/>
        </w:rPr>
        <w:tab/>
        <w:t>The financial report is a general purpose financial report which has been prepared in accordance with Accounting Standards, Urgent Issues, Group Consensus Views, and other authoritative pronouncements of the Australian Accounting Standards Board.</w:t>
      </w:r>
      <w:r w:rsidR="005F2896" w:rsidRPr="007A19EF">
        <w:rPr>
          <w:rFonts w:ascii="Arial" w:hAnsi="Arial" w:cs="Arial"/>
          <w:sz w:val="22"/>
          <w:szCs w:val="22"/>
        </w:rPr>
        <w:t xml:space="preserve"> </w:t>
      </w:r>
      <w:r w:rsidRPr="007A19EF">
        <w:rPr>
          <w:rFonts w:ascii="Arial" w:hAnsi="Arial" w:cs="Arial"/>
          <w:sz w:val="22"/>
          <w:szCs w:val="22"/>
        </w:rPr>
        <w:t>It has been prepared on the basis of historical costs except for the revaluation of land and buildings, and does not take into account changing money values.</w:t>
      </w:r>
      <w:r w:rsidR="005F2896" w:rsidRPr="007A19EF">
        <w:rPr>
          <w:rFonts w:ascii="Arial" w:hAnsi="Arial" w:cs="Arial"/>
          <w:sz w:val="22"/>
          <w:szCs w:val="22"/>
        </w:rPr>
        <w:t xml:space="preserve"> </w:t>
      </w:r>
      <w:r w:rsidRPr="007A19EF">
        <w:rPr>
          <w:rFonts w:ascii="Arial" w:hAnsi="Arial" w:cs="Arial"/>
          <w:sz w:val="22"/>
          <w:szCs w:val="22"/>
        </w:rPr>
        <w:t>Accounting policies used are consistent with those of the prior year.</w:t>
      </w:r>
    </w:p>
    <w:p w:rsidR="009E07BA" w:rsidRPr="007A19EF" w:rsidRDefault="009E07BA" w:rsidP="007A19EF">
      <w:pPr>
        <w:keepNext/>
        <w:keepLines/>
        <w:tabs>
          <w:tab w:val="left" w:pos="567"/>
        </w:tabs>
        <w:spacing w:before="120" w:after="120"/>
        <w:ind w:right="6"/>
        <w:jc w:val="both"/>
        <w:rPr>
          <w:rFonts w:ascii="Arial" w:hAnsi="Arial" w:cs="Arial"/>
          <w:b/>
          <w:sz w:val="22"/>
          <w:szCs w:val="22"/>
        </w:rPr>
      </w:pPr>
      <w:r w:rsidRPr="007A19EF">
        <w:rPr>
          <w:rFonts w:ascii="Arial" w:hAnsi="Arial" w:cs="Arial"/>
          <w:b/>
          <w:sz w:val="22"/>
          <w:szCs w:val="22"/>
        </w:rPr>
        <w:t>b)</w:t>
      </w:r>
      <w:r w:rsidRPr="007A19EF">
        <w:rPr>
          <w:rFonts w:ascii="Arial" w:hAnsi="Arial" w:cs="Arial"/>
          <w:b/>
          <w:sz w:val="22"/>
          <w:szCs w:val="22"/>
        </w:rPr>
        <w:tab/>
        <w:t>System of Accounting</w:t>
      </w:r>
    </w:p>
    <w:p w:rsidR="009E07BA" w:rsidRPr="007A19EF" w:rsidRDefault="009E07BA" w:rsidP="009E07BA">
      <w:pPr>
        <w:tabs>
          <w:tab w:val="left" w:pos="567"/>
        </w:tabs>
        <w:spacing w:after="120"/>
        <w:ind w:left="567" w:right="6" w:hanging="567"/>
        <w:jc w:val="both"/>
        <w:rPr>
          <w:rFonts w:ascii="Arial" w:hAnsi="Arial" w:cs="Arial"/>
          <w:sz w:val="22"/>
          <w:szCs w:val="22"/>
        </w:rPr>
      </w:pPr>
      <w:r w:rsidRPr="007A19EF">
        <w:rPr>
          <w:rFonts w:ascii="Arial" w:hAnsi="Arial" w:cs="Arial"/>
          <w:sz w:val="22"/>
          <w:szCs w:val="22"/>
        </w:rPr>
        <w:tab/>
        <w:t xml:space="preserve">The statements are prepared in accordance with the accrual basis of accounting which brings to account known assets and liabilities at balance date. All amounts shown in the financial statements are in thousands of dollars. The system of accounting complies with the requirements of the </w:t>
      </w:r>
      <w:r w:rsidRPr="007A19EF">
        <w:rPr>
          <w:rFonts w:ascii="Arial" w:hAnsi="Arial" w:cs="Arial"/>
          <w:i/>
          <w:sz w:val="22"/>
          <w:szCs w:val="22"/>
        </w:rPr>
        <w:t>Fire Service Act 1979</w:t>
      </w:r>
      <w:r w:rsidRPr="007A19EF">
        <w:rPr>
          <w:rFonts w:ascii="Arial" w:hAnsi="Arial" w:cs="Arial"/>
          <w:sz w:val="22"/>
          <w:szCs w:val="22"/>
        </w:rPr>
        <w:t xml:space="preserve">. </w:t>
      </w:r>
    </w:p>
    <w:p w:rsidR="009E07BA" w:rsidRPr="007A19EF" w:rsidRDefault="009E07BA" w:rsidP="009E07BA">
      <w:pPr>
        <w:tabs>
          <w:tab w:val="left" w:pos="567"/>
        </w:tabs>
        <w:spacing w:before="120" w:after="120"/>
        <w:ind w:right="6"/>
        <w:jc w:val="both"/>
        <w:rPr>
          <w:rFonts w:ascii="Arial" w:hAnsi="Arial" w:cs="Arial"/>
          <w:b/>
          <w:sz w:val="22"/>
          <w:szCs w:val="22"/>
        </w:rPr>
      </w:pPr>
      <w:r w:rsidRPr="007A19EF">
        <w:rPr>
          <w:rFonts w:ascii="Arial" w:hAnsi="Arial" w:cs="Arial"/>
          <w:b/>
          <w:sz w:val="22"/>
          <w:szCs w:val="22"/>
        </w:rPr>
        <w:t>c)</w:t>
      </w:r>
      <w:r w:rsidRPr="007A19EF">
        <w:rPr>
          <w:rFonts w:ascii="Arial" w:hAnsi="Arial" w:cs="Arial"/>
          <w:b/>
          <w:sz w:val="22"/>
          <w:szCs w:val="22"/>
        </w:rPr>
        <w:tab/>
        <w:t>Inventories</w:t>
      </w:r>
    </w:p>
    <w:p w:rsidR="009E07BA" w:rsidRPr="007A19EF" w:rsidRDefault="009E07BA" w:rsidP="009E07BA">
      <w:pPr>
        <w:tabs>
          <w:tab w:val="left" w:pos="567"/>
        </w:tabs>
        <w:spacing w:after="120"/>
        <w:ind w:left="567" w:right="6" w:hanging="567"/>
        <w:jc w:val="both"/>
        <w:rPr>
          <w:rFonts w:ascii="Arial" w:hAnsi="Arial" w:cs="Arial"/>
          <w:sz w:val="22"/>
          <w:szCs w:val="22"/>
        </w:rPr>
      </w:pPr>
      <w:r w:rsidRPr="007A19EF">
        <w:rPr>
          <w:rFonts w:ascii="Arial" w:hAnsi="Arial" w:cs="Arial"/>
          <w:sz w:val="22"/>
          <w:szCs w:val="22"/>
        </w:rPr>
        <w:tab/>
        <w:t>Consumable stores are expensed at time of purchase. Stock on hand is valued at average cost.</w:t>
      </w:r>
      <w:r w:rsidR="005F2896" w:rsidRPr="007A19EF">
        <w:rPr>
          <w:rFonts w:ascii="Arial" w:hAnsi="Arial" w:cs="Arial"/>
          <w:sz w:val="22"/>
          <w:szCs w:val="22"/>
        </w:rPr>
        <w:t xml:space="preserve"> </w:t>
      </w:r>
    </w:p>
    <w:p w:rsidR="009E07BA" w:rsidRPr="007A19EF" w:rsidRDefault="009E07BA" w:rsidP="007A19EF">
      <w:pPr>
        <w:keepNext/>
        <w:keepLines/>
        <w:tabs>
          <w:tab w:val="left" w:pos="567"/>
        </w:tabs>
        <w:spacing w:after="120"/>
        <w:ind w:right="6"/>
        <w:jc w:val="both"/>
        <w:rPr>
          <w:rFonts w:ascii="Arial" w:hAnsi="Arial" w:cs="Arial"/>
          <w:b/>
          <w:sz w:val="22"/>
          <w:szCs w:val="22"/>
        </w:rPr>
      </w:pPr>
      <w:r w:rsidRPr="007A19EF">
        <w:rPr>
          <w:rFonts w:ascii="Arial" w:hAnsi="Arial" w:cs="Arial"/>
          <w:b/>
          <w:sz w:val="22"/>
          <w:szCs w:val="22"/>
        </w:rPr>
        <w:t>d)</w:t>
      </w:r>
      <w:r w:rsidRPr="007A19EF">
        <w:rPr>
          <w:rFonts w:ascii="Arial" w:hAnsi="Arial" w:cs="Arial"/>
          <w:b/>
          <w:sz w:val="22"/>
          <w:szCs w:val="22"/>
        </w:rPr>
        <w:tab/>
        <w:t>Receivables</w:t>
      </w:r>
    </w:p>
    <w:p w:rsidR="009E07BA" w:rsidRPr="007A19EF" w:rsidRDefault="009E07BA" w:rsidP="007B223B">
      <w:pPr>
        <w:keepNext/>
        <w:keepLines/>
        <w:tabs>
          <w:tab w:val="left" w:pos="567"/>
        </w:tabs>
        <w:spacing w:after="100" w:afterAutospacing="1"/>
        <w:ind w:left="567" w:right="6" w:hanging="567"/>
        <w:jc w:val="both"/>
        <w:rPr>
          <w:rFonts w:ascii="Arial" w:hAnsi="Arial" w:cs="Arial"/>
          <w:sz w:val="22"/>
          <w:szCs w:val="22"/>
        </w:rPr>
      </w:pPr>
      <w:r w:rsidRPr="007A19EF">
        <w:rPr>
          <w:rFonts w:ascii="Arial" w:hAnsi="Arial" w:cs="Arial"/>
          <w:sz w:val="22"/>
          <w:szCs w:val="22"/>
        </w:rPr>
        <w:tab/>
        <w:t xml:space="preserve">Trade receivables are generally settled within 60 days and are carried at amounts due. The collectability of debts is assessed at year-end and a specific provision is made for any doubtful accounts. </w:t>
      </w:r>
      <w:r w:rsidR="00705651" w:rsidRPr="007A19EF">
        <w:rPr>
          <w:rFonts w:ascii="Arial" w:hAnsi="Arial" w:cs="Arial"/>
          <w:sz w:val="22"/>
          <w:szCs w:val="22"/>
        </w:rPr>
        <w:t>The collectability of debts is assessed at year-end and a specific provision is made for any doubtful debts</w:t>
      </w:r>
      <w:r w:rsidRPr="007A19EF">
        <w:rPr>
          <w:rFonts w:ascii="Arial" w:hAnsi="Arial" w:cs="Arial"/>
          <w:sz w:val="22"/>
          <w:szCs w:val="22"/>
        </w:rPr>
        <w:t>. The carrying amount of trade receivables approximates net fair value.</w:t>
      </w:r>
    </w:p>
    <w:p w:rsidR="009E07BA" w:rsidRPr="007A19EF" w:rsidRDefault="009E07BA" w:rsidP="007B223B">
      <w:pPr>
        <w:tabs>
          <w:tab w:val="left" w:pos="567"/>
        </w:tabs>
        <w:spacing w:before="120" w:after="240"/>
        <w:ind w:right="6"/>
        <w:jc w:val="both"/>
        <w:rPr>
          <w:rFonts w:ascii="Arial" w:hAnsi="Arial" w:cs="Arial"/>
          <w:b/>
          <w:sz w:val="22"/>
          <w:szCs w:val="22"/>
        </w:rPr>
      </w:pPr>
      <w:r w:rsidRPr="007A19EF">
        <w:rPr>
          <w:rFonts w:ascii="Arial" w:hAnsi="Arial" w:cs="Arial"/>
          <w:b/>
          <w:sz w:val="22"/>
          <w:szCs w:val="22"/>
        </w:rPr>
        <w:t>e)</w:t>
      </w:r>
      <w:r w:rsidRPr="007A19EF">
        <w:rPr>
          <w:rFonts w:ascii="Arial" w:hAnsi="Arial" w:cs="Arial"/>
          <w:b/>
          <w:sz w:val="22"/>
          <w:szCs w:val="22"/>
        </w:rPr>
        <w:tab/>
        <w:t>Work in Progress</w:t>
      </w:r>
    </w:p>
    <w:p w:rsidR="00D03499" w:rsidRDefault="009E07BA" w:rsidP="007B223B">
      <w:pPr>
        <w:tabs>
          <w:tab w:val="left" w:pos="567"/>
        </w:tabs>
        <w:spacing w:after="100" w:afterAutospacing="1"/>
        <w:ind w:left="567" w:right="6" w:hanging="567"/>
        <w:jc w:val="both"/>
        <w:rPr>
          <w:rFonts w:ascii="Arial" w:hAnsi="Arial" w:cs="Arial"/>
          <w:sz w:val="22"/>
          <w:szCs w:val="22"/>
        </w:rPr>
      </w:pPr>
      <w:r w:rsidRPr="007A19EF">
        <w:rPr>
          <w:rFonts w:ascii="Arial" w:hAnsi="Arial" w:cs="Arial"/>
          <w:sz w:val="22"/>
          <w:szCs w:val="22"/>
        </w:rPr>
        <w:tab/>
      </w:r>
      <w:r w:rsidR="005671F7" w:rsidRPr="007A19EF">
        <w:rPr>
          <w:rFonts w:ascii="Arial" w:hAnsi="Arial" w:cs="Arial"/>
          <w:sz w:val="22"/>
          <w:szCs w:val="22"/>
        </w:rPr>
        <w:t xml:space="preserve">Capital </w:t>
      </w:r>
      <w:r w:rsidRPr="007A19EF">
        <w:rPr>
          <w:rFonts w:ascii="Arial" w:hAnsi="Arial" w:cs="Arial"/>
          <w:sz w:val="22"/>
          <w:szCs w:val="22"/>
        </w:rPr>
        <w:t xml:space="preserve">Work in Progress is valued </w:t>
      </w:r>
      <w:r w:rsidR="005671F7" w:rsidRPr="007A19EF">
        <w:rPr>
          <w:rFonts w:ascii="Arial" w:hAnsi="Arial" w:cs="Arial"/>
          <w:sz w:val="22"/>
          <w:szCs w:val="22"/>
        </w:rPr>
        <w:t xml:space="preserve">at the </w:t>
      </w:r>
      <w:r w:rsidRPr="007A19EF">
        <w:rPr>
          <w:rFonts w:ascii="Arial" w:hAnsi="Arial" w:cs="Arial"/>
          <w:sz w:val="22"/>
          <w:szCs w:val="22"/>
        </w:rPr>
        <w:t>cost of material</w:t>
      </w:r>
      <w:r w:rsidR="005671F7" w:rsidRPr="007A19EF">
        <w:rPr>
          <w:rFonts w:ascii="Arial" w:hAnsi="Arial" w:cs="Arial"/>
          <w:sz w:val="22"/>
          <w:szCs w:val="22"/>
        </w:rPr>
        <w:t xml:space="preserve">, </w:t>
      </w:r>
      <w:r w:rsidRPr="007A19EF">
        <w:rPr>
          <w:rFonts w:ascii="Arial" w:hAnsi="Arial" w:cs="Arial"/>
          <w:sz w:val="22"/>
          <w:szCs w:val="22"/>
        </w:rPr>
        <w:t xml:space="preserve">labour </w:t>
      </w:r>
      <w:r w:rsidR="005671F7" w:rsidRPr="007A19EF">
        <w:rPr>
          <w:rFonts w:ascii="Arial" w:hAnsi="Arial" w:cs="Arial"/>
          <w:sz w:val="22"/>
          <w:szCs w:val="22"/>
        </w:rPr>
        <w:t xml:space="preserve">and labour on costs </w:t>
      </w:r>
      <w:r w:rsidRPr="007A19EF">
        <w:rPr>
          <w:rFonts w:ascii="Arial" w:hAnsi="Arial" w:cs="Arial"/>
          <w:sz w:val="22"/>
          <w:szCs w:val="22"/>
        </w:rPr>
        <w:t>for work to date</w:t>
      </w:r>
      <w:r w:rsidR="005671F7" w:rsidRPr="007A19EF">
        <w:rPr>
          <w:rFonts w:ascii="Arial" w:hAnsi="Arial" w:cs="Arial"/>
          <w:sz w:val="22"/>
          <w:szCs w:val="22"/>
        </w:rPr>
        <w:t>.</w:t>
      </w:r>
    </w:p>
    <w:p w:rsidR="00D03499" w:rsidRDefault="00D03499">
      <w:pPr>
        <w:rPr>
          <w:rFonts w:ascii="Arial" w:hAnsi="Arial" w:cs="Arial"/>
          <w:sz w:val="22"/>
          <w:szCs w:val="22"/>
        </w:rPr>
      </w:pPr>
      <w:r>
        <w:rPr>
          <w:rFonts w:ascii="Arial" w:hAnsi="Arial" w:cs="Arial"/>
          <w:sz w:val="22"/>
          <w:szCs w:val="22"/>
        </w:rPr>
        <w:br w:type="page"/>
      </w:r>
    </w:p>
    <w:p w:rsidR="009E07BA" w:rsidRPr="007A19EF" w:rsidRDefault="009E07BA" w:rsidP="0083415A">
      <w:pPr>
        <w:numPr>
          <w:ilvl w:val="0"/>
          <w:numId w:val="6"/>
        </w:numPr>
        <w:tabs>
          <w:tab w:val="left" w:pos="567"/>
        </w:tabs>
        <w:spacing w:before="120" w:after="240"/>
        <w:ind w:right="6"/>
        <w:jc w:val="both"/>
        <w:rPr>
          <w:rFonts w:ascii="Arial" w:hAnsi="Arial" w:cs="Arial"/>
          <w:b/>
          <w:sz w:val="22"/>
          <w:szCs w:val="22"/>
        </w:rPr>
      </w:pPr>
      <w:r w:rsidRPr="007A19EF">
        <w:rPr>
          <w:rFonts w:ascii="Arial" w:hAnsi="Arial" w:cs="Arial"/>
          <w:b/>
          <w:sz w:val="22"/>
          <w:szCs w:val="22"/>
        </w:rPr>
        <w:t>Land and Buildings</w:t>
      </w:r>
      <w:r w:rsidR="005F6E65">
        <w:rPr>
          <w:rFonts w:ascii="Arial" w:hAnsi="Arial" w:cs="Arial"/>
          <w:b/>
          <w:sz w:val="22"/>
          <w:szCs w:val="22"/>
        </w:rPr>
        <w:t xml:space="preserve"> </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 xml:space="preserve">Freehold land and buildings are valued at fair value.  Cost is considered to be the best measure of fair value for recently purchased property.  Where available, in years subsequent to acquisition, the Valuer-General’s valuation or a commercial valuation is used. The Valuer-General progressively revalues land and buildings in a systematic manner, which is both independent and consistent. </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On revaluation, the Provision for Depreciation accounts are transferred to the related asset accounts.  The assets are then depreciated over their estimated remaining useful lives using their revalued amount as the base.</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When a class of assets is revalued upwards, that part of the revaluation increment that reverses previously expensed revaluation decrements for that class of assets is treated as revenue, and any excess is credited to the Asset Revaluation Reserve.</w:t>
      </w:r>
    </w:p>
    <w:p w:rsidR="005671F7" w:rsidRPr="007A19EF" w:rsidRDefault="005671F7" w:rsidP="007B223B">
      <w:pPr>
        <w:spacing w:after="100" w:afterAutospacing="1"/>
        <w:ind w:left="539" w:right="6"/>
        <w:jc w:val="both"/>
        <w:rPr>
          <w:rFonts w:ascii="Arial" w:hAnsi="Arial" w:cs="Arial"/>
          <w:sz w:val="22"/>
          <w:szCs w:val="22"/>
        </w:rPr>
      </w:pPr>
      <w:r w:rsidRPr="007A19EF">
        <w:rPr>
          <w:rFonts w:ascii="Arial" w:hAnsi="Arial" w:cs="Arial"/>
          <w:sz w:val="22"/>
          <w:szCs w:val="22"/>
        </w:rPr>
        <w:t>When a class of assets is revalued downwards, that part of the revaluation decrement that reverses a credit balance in the Asset Revaluation Reserve relating to that class of assets is debited to the Reserve, and any excess decrement is expensed.</w:t>
      </w:r>
    </w:p>
    <w:p w:rsidR="009E07BA" w:rsidRPr="007A19EF" w:rsidRDefault="009E07BA"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Fire Appliances and Plant and Equipment</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 xml:space="preserve">Internal expenses incurred in the fabrication of </w:t>
      </w:r>
      <w:r w:rsidR="001B7E22">
        <w:rPr>
          <w:rFonts w:ascii="Arial" w:hAnsi="Arial" w:cs="Arial"/>
          <w:sz w:val="22"/>
          <w:szCs w:val="22"/>
        </w:rPr>
        <w:t>f</w:t>
      </w:r>
      <w:r w:rsidRPr="007A19EF">
        <w:rPr>
          <w:rFonts w:ascii="Arial" w:hAnsi="Arial" w:cs="Arial"/>
          <w:sz w:val="22"/>
          <w:szCs w:val="22"/>
        </w:rPr>
        <w:t xml:space="preserve">ire </w:t>
      </w:r>
      <w:r w:rsidR="001B7E22">
        <w:rPr>
          <w:rFonts w:ascii="Arial" w:hAnsi="Arial" w:cs="Arial"/>
          <w:sz w:val="22"/>
          <w:szCs w:val="22"/>
        </w:rPr>
        <w:t>a</w:t>
      </w:r>
      <w:r w:rsidRPr="007A19EF">
        <w:rPr>
          <w:rFonts w:ascii="Arial" w:hAnsi="Arial" w:cs="Arial"/>
          <w:sz w:val="22"/>
          <w:szCs w:val="22"/>
        </w:rPr>
        <w:t xml:space="preserve">ppliances and the construction of </w:t>
      </w:r>
      <w:r w:rsidR="001B7E22">
        <w:rPr>
          <w:rFonts w:ascii="Arial" w:hAnsi="Arial" w:cs="Arial"/>
          <w:sz w:val="22"/>
          <w:szCs w:val="22"/>
        </w:rPr>
        <w:t>r</w:t>
      </w:r>
      <w:r w:rsidR="001B7E22" w:rsidRPr="007A19EF">
        <w:rPr>
          <w:rFonts w:ascii="Arial" w:hAnsi="Arial" w:cs="Arial"/>
          <w:sz w:val="22"/>
          <w:szCs w:val="22"/>
        </w:rPr>
        <w:t xml:space="preserve">adio </w:t>
      </w:r>
      <w:r w:rsidRPr="007A19EF">
        <w:rPr>
          <w:rFonts w:ascii="Arial" w:hAnsi="Arial" w:cs="Arial"/>
          <w:sz w:val="22"/>
          <w:szCs w:val="22"/>
        </w:rPr>
        <w:t xml:space="preserve">and </w:t>
      </w:r>
      <w:r w:rsidR="001B7E22">
        <w:rPr>
          <w:rFonts w:ascii="Arial" w:hAnsi="Arial" w:cs="Arial"/>
          <w:sz w:val="22"/>
          <w:szCs w:val="22"/>
        </w:rPr>
        <w:t>c</w:t>
      </w:r>
      <w:r w:rsidR="001B7E22" w:rsidRPr="007A19EF">
        <w:rPr>
          <w:rFonts w:ascii="Arial" w:hAnsi="Arial" w:cs="Arial"/>
          <w:sz w:val="22"/>
          <w:szCs w:val="22"/>
        </w:rPr>
        <w:t xml:space="preserve">ommunications </w:t>
      </w:r>
      <w:r w:rsidR="001B7E22">
        <w:rPr>
          <w:rFonts w:ascii="Arial" w:hAnsi="Arial" w:cs="Arial"/>
          <w:sz w:val="22"/>
          <w:szCs w:val="22"/>
        </w:rPr>
        <w:t>e</w:t>
      </w:r>
      <w:r w:rsidR="001B7E22" w:rsidRPr="007A19EF">
        <w:rPr>
          <w:rFonts w:ascii="Arial" w:hAnsi="Arial" w:cs="Arial"/>
          <w:sz w:val="22"/>
          <w:szCs w:val="22"/>
        </w:rPr>
        <w:t xml:space="preserve">quipment </w:t>
      </w:r>
      <w:r w:rsidRPr="007A19EF">
        <w:rPr>
          <w:rFonts w:ascii="Arial" w:hAnsi="Arial" w:cs="Arial"/>
          <w:sz w:val="22"/>
          <w:szCs w:val="22"/>
        </w:rPr>
        <w:t>are capitalised.</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Passenger vehicles are valued at cost.</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Plant and Equipment is at cost and is comprised of Fire Fighting Equipment, Workshop and Other Equipment, Radio and Communications Equipment, Office Furniture and Equipment and Computer Equipment.</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Items of Plant and Equipment with a purchase price of less than $</w:t>
      </w:r>
      <w:r w:rsidR="009255F5" w:rsidRPr="007A19EF">
        <w:rPr>
          <w:rFonts w:ascii="Arial" w:hAnsi="Arial" w:cs="Arial"/>
          <w:sz w:val="22"/>
          <w:szCs w:val="22"/>
        </w:rPr>
        <w:t>2</w:t>
      </w:r>
      <w:r w:rsidRPr="007A19EF">
        <w:rPr>
          <w:rFonts w:ascii="Arial" w:hAnsi="Arial" w:cs="Arial"/>
          <w:sz w:val="22"/>
          <w:szCs w:val="22"/>
        </w:rPr>
        <w:t>,000 are expensed at time of purchase.  Items of Plant and Equipment with a cost of $</w:t>
      </w:r>
      <w:r w:rsidR="009255F5" w:rsidRPr="007A19EF">
        <w:rPr>
          <w:rFonts w:ascii="Arial" w:hAnsi="Arial" w:cs="Arial"/>
          <w:sz w:val="22"/>
          <w:szCs w:val="22"/>
        </w:rPr>
        <w:t>2</w:t>
      </w:r>
      <w:r w:rsidRPr="007A19EF">
        <w:rPr>
          <w:rFonts w:ascii="Arial" w:hAnsi="Arial" w:cs="Arial"/>
          <w:sz w:val="22"/>
          <w:szCs w:val="22"/>
        </w:rPr>
        <w:t>,000 or more are shown at cost less depreciation and are written off over their expected useful life to the Commission on a straight line basis.  Equipment is not depreciated until full operational status is attained.</w:t>
      </w:r>
    </w:p>
    <w:p w:rsidR="005671F7" w:rsidRPr="007A19EF" w:rsidRDefault="005671F7" w:rsidP="007B223B">
      <w:pPr>
        <w:spacing w:after="100" w:afterAutospacing="1"/>
        <w:ind w:left="539" w:right="6"/>
        <w:jc w:val="both"/>
        <w:rPr>
          <w:rFonts w:ascii="Arial" w:hAnsi="Arial" w:cs="Arial"/>
          <w:sz w:val="22"/>
          <w:szCs w:val="22"/>
        </w:rPr>
      </w:pPr>
      <w:r w:rsidRPr="007A19EF">
        <w:rPr>
          <w:rFonts w:ascii="Arial" w:hAnsi="Arial" w:cs="Arial"/>
          <w:sz w:val="22"/>
          <w:szCs w:val="22"/>
        </w:rPr>
        <w:t>Costs incurred in relation to plant and equipment subsequent to initial acquisitions are capitalised when it is probable that future economic benefits, in excess of the originally assessed performance of the assets will flow to the Commission in future years. Where these costs represent separate components they are accounted for as separate assets and are separately depreciated over their useful lives.</w:t>
      </w:r>
    </w:p>
    <w:p w:rsidR="00212A70" w:rsidRPr="007A19EF"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Impaired Assets</w:t>
      </w:r>
    </w:p>
    <w:p w:rsidR="00212A70" w:rsidRPr="007A19EF" w:rsidRDefault="00212A70" w:rsidP="00471D55">
      <w:pPr>
        <w:spacing w:after="100" w:afterAutospacing="1"/>
        <w:ind w:left="539"/>
        <w:jc w:val="both"/>
        <w:rPr>
          <w:rFonts w:ascii="Arial" w:hAnsi="Arial" w:cs="Arial"/>
          <w:sz w:val="22"/>
          <w:szCs w:val="22"/>
        </w:rPr>
      </w:pPr>
      <w:r w:rsidRPr="007A19EF">
        <w:rPr>
          <w:rFonts w:ascii="Arial" w:hAnsi="Arial" w:cs="Arial"/>
          <w:sz w:val="22"/>
          <w:szCs w:val="22"/>
        </w:rPr>
        <w:t xml:space="preserve">Assets are reviewed at balance date for impairment using a range of impairment indicators.  Where an asset is deemed to be impaired, its recoverable amount is estimated, and if materially lower than its carrying amount, the carrying amount is reduced to its recoverable amount.  Any resulting impairment loss (or gain) is recognised in the Income Statement in </w:t>
      </w:r>
      <w:r w:rsidRPr="007A19EF">
        <w:rPr>
          <w:rFonts w:ascii="Arial" w:hAnsi="Arial" w:cs="Arial"/>
          <w:i/>
          <w:sz w:val="22"/>
          <w:szCs w:val="22"/>
        </w:rPr>
        <w:t xml:space="preserve">Financial and Other Expenses (or Sundry Revenue) </w:t>
      </w:r>
      <w:r w:rsidRPr="007A19EF">
        <w:rPr>
          <w:rFonts w:ascii="Arial" w:hAnsi="Arial" w:cs="Arial"/>
          <w:sz w:val="22"/>
          <w:szCs w:val="22"/>
        </w:rPr>
        <w:t>unless the asset has previously been revalued upwards, in which case it is recognised as a reversal up to the amount of the previous revaluation and any excess is recognised through profit or loss.</w:t>
      </w:r>
    </w:p>
    <w:p w:rsidR="00212A70" w:rsidRPr="0054638D" w:rsidRDefault="00212A70" w:rsidP="00471D55">
      <w:pPr>
        <w:numPr>
          <w:ilvl w:val="0"/>
          <w:numId w:val="6"/>
        </w:numPr>
        <w:tabs>
          <w:tab w:val="clear" w:pos="737"/>
          <w:tab w:val="num" w:pos="567"/>
        </w:tabs>
        <w:spacing w:before="120" w:after="240"/>
        <w:ind w:left="567" w:right="6" w:hanging="567"/>
        <w:jc w:val="both"/>
        <w:rPr>
          <w:rFonts w:ascii="Arial" w:hAnsi="Arial" w:cs="Arial"/>
          <w:b/>
          <w:sz w:val="22"/>
          <w:szCs w:val="22"/>
        </w:rPr>
      </w:pPr>
      <w:r w:rsidRPr="0054638D">
        <w:rPr>
          <w:rFonts w:ascii="Arial" w:hAnsi="Arial" w:cs="Arial"/>
          <w:b/>
          <w:sz w:val="22"/>
          <w:szCs w:val="22"/>
        </w:rPr>
        <w:t xml:space="preserve">Assets Held for </w:t>
      </w:r>
      <w:smartTag w:uri="urn:schemas-microsoft-com:office:smarttags" w:element="City">
        <w:smartTag w:uri="urn:schemas-microsoft-com:office:smarttags" w:element="place">
          <w:r w:rsidRPr="0054638D">
            <w:rPr>
              <w:rFonts w:ascii="Arial" w:hAnsi="Arial" w:cs="Arial"/>
              <w:b/>
              <w:sz w:val="22"/>
              <w:szCs w:val="22"/>
            </w:rPr>
            <w:t>Sale</w:t>
          </w:r>
        </w:smartTag>
      </w:smartTag>
    </w:p>
    <w:p w:rsidR="00212A70" w:rsidRPr="007A19EF" w:rsidRDefault="00212A70" w:rsidP="00471D55">
      <w:pPr>
        <w:pStyle w:val="BodyText3"/>
        <w:keepNext w:val="0"/>
        <w:keepLines w:val="0"/>
        <w:spacing w:after="100" w:afterAutospacing="1"/>
        <w:ind w:left="539"/>
        <w:jc w:val="both"/>
        <w:rPr>
          <w:rFonts w:ascii="Arial" w:hAnsi="Arial" w:cs="Arial"/>
          <w:b w:val="0"/>
          <w:sz w:val="22"/>
          <w:szCs w:val="22"/>
        </w:rPr>
      </w:pPr>
      <w:r w:rsidRPr="007A19EF">
        <w:rPr>
          <w:rFonts w:ascii="Arial" w:hAnsi="Arial" w:cs="Arial"/>
          <w:b w:val="0"/>
          <w:sz w:val="22"/>
          <w:szCs w:val="22"/>
        </w:rPr>
        <w:t>Non-Current Assets are reclassified as held for sale if their carrying amount will be recovered principally through a sale transaction rather than through continuing use.  They are stated at the lower of carrying value and fair (net recoverable) value less disposal costs.  Provision for Depreciation accounts are transferred to the related asset accounts and the assets are then revalued to their estimated net recoverable value with any resulting impairment gains or losses disclosed in the Income Statement.  Non-Current Assets held for resale are transferred to Current Assets and are not depreciated.</w:t>
      </w:r>
    </w:p>
    <w:p w:rsidR="00212A70" w:rsidRPr="007A19EF"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Provision for Employee Related Expenses</w:t>
      </w:r>
    </w:p>
    <w:p w:rsidR="00212A70" w:rsidRPr="007A19EF" w:rsidRDefault="00212A70" w:rsidP="00212A70">
      <w:pPr>
        <w:keepNext/>
        <w:keepLines/>
        <w:spacing w:before="120" w:after="240"/>
        <w:ind w:left="567" w:right="6"/>
        <w:jc w:val="both"/>
        <w:rPr>
          <w:rFonts w:ascii="Arial" w:hAnsi="Arial" w:cs="Arial"/>
          <w:sz w:val="22"/>
          <w:szCs w:val="22"/>
        </w:rPr>
      </w:pPr>
      <w:r w:rsidRPr="007A19EF">
        <w:rPr>
          <w:rFonts w:ascii="Arial" w:hAnsi="Arial" w:cs="Arial"/>
          <w:sz w:val="22"/>
          <w:szCs w:val="22"/>
        </w:rPr>
        <w:t>No cash reserve has been set aside to meet commitments from the Provision for Employee Related Expenses and commitments will be met as they fall due.  The Provision is comprised of Provisions for Long Service Leave, Annual Leave, Superannuation and Payroll Tax.</w:t>
      </w:r>
    </w:p>
    <w:p w:rsidR="00212A70" w:rsidRPr="007A19EF" w:rsidRDefault="00212A70" w:rsidP="00212A70">
      <w:pPr>
        <w:widowControl w:val="0"/>
        <w:spacing w:after="120"/>
        <w:ind w:left="540" w:right="5" w:hanging="9"/>
        <w:jc w:val="both"/>
        <w:rPr>
          <w:rFonts w:ascii="Arial" w:hAnsi="Arial" w:cs="Arial"/>
          <w:sz w:val="22"/>
          <w:szCs w:val="22"/>
        </w:rPr>
      </w:pPr>
      <w:r w:rsidRPr="007A19EF">
        <w:rPr>
          <w:rFonts w:ascii="Arial" w:hAnsi="Arial" w:cs="Arial"/>
          <w:b/>
          <w:sz w:val="22"/>
          <w:szCs w:val="22"/>
        </w:rPr>
        <w:t>Provision for Long Service Leave</w:t>
      </w:r>
      <w:r w:rsidRPr="007A19EF">
        <w:rPr>
          <w:rFonts w:ascii="Arial" w:hAnsi="Arial" w:cs="Arial"/>
          <w:sz w:val="22"/>
          <w:szCs w:val="22"/>
        </w:rPr>
        <w:t xml:space="preserve"> is made for all employees.  </w:t>
      </w:r>
      <w:r w:rsidRPr="007A19EF">
        <w:rPr>
          <w:rFonts w:ascii="Arial" w:hAnsi="Arial" w:cs="Arial"/>
          <w:color w:val="000000"/>
          <w:sz w:val="22"/>
          <w:szCs w:val="22"/>
        </w:rPr>
        <w:t>The liability is the sum of the existing entitlements and an estimate of future entitlements expected to arise from service completed at 30 June.</w:t>
      </w:r>
      <w:r w:rsidRPr="007A19EF">
        <w:rPr>
          <w:rFonts w:ascii="Arial" w:hAnsi="Arial" w:cs="Arial"/>
          <w:sz w:val="22"/>
          <w:szCs w:val="22"/>
        </w:rPr>
        <w:t xml:space="preserve"> </w:t>
      </w:r>
    </w:p>
    <w:p w:rsidR="00212A70" w:rsidRPr="007A19EF" w:rsidRDefault="00212A70" w:rsidP="00212A70">
      <w:pPr>
        <w:widowControl w:val="0"/>
        <w:spacing w:after="120"/>
        <w:ind w:left="540" w:right="5" w:firstLine="9"/>
        <w:jc w:val="both"/>
        <w:rPr>
          <w:rFonts w:ascii="Arial" w:hAnsi="Arial" w:cs="Arial"/>
          <w:sz w:val="22"/>
          <w:szCs w:val="22"/>
        </w:rPr>
      </w:pPr>
      <w:r w:rsidRPr="007A19EF">
        <w:rPr>
          <w:rFonts w:ascii="Arial" w:hAnsi="Arial" w:cs="Arial"/>
          <w:sz w:val="22"/>
          <w:szCs w:val="22"/>
        </w:rPr>
        <w:t>In determining the liability for expected future entitlements, consideration has been given to known future increases in wage and salary rates, and experiences with staff separations.  Estimated future accrued leave has been discounted using the rates applied to national government securities at balance date, which best match the terms of maturity of the related liabilities.</w:t>
      </w:r>
    </w:p>
    <w:p w:rsidR="00212A70" w:rsidRPr="007A19EF" w:rsidRDefault="00212A70" w:rsidP="00212A70">
      <w:pPr>
        <w:widowControl w:val="0"/>
        <w:spacing w:after="120"/>
        <w:ind w:left="540" w:right="6" w:hanging="6"/>
        <w:jc w:val="both"/>
        <w:rPr>
          <w:rFonts w:ascii="Arial" w:hAnsi="Arial" w:cs="Arial"/>
          <w:color w:val="000000"/>
          <w:sz w:val="22"/>
          <w:szCs w:val="22"/>
        </w:rPr>
      </w:pPr>
      <w:r w:rsidRPr="007A19EF">
        <w:rPr>
          <w:rFonts w:ascii="Arial" w:hAnsi="Arial" w:cs="Arial"/>
          <w:color w:val="000000"/>
          <w:sz w:val="22"/>
          <w:szCs w:val="22"/>
        </w:rPr>
        <w:t>The current provision is the sum of the present entitlements to leave (i.e. the liability relating to employees with 10 or more years’ service) and the balance of the provision is treated as the non-current provision.</w:t>
      </w:r>
    </w:p>
    <w:p w:rsidR="00212A70" w:rsidRPr="007A19EF" w:rsidRDefault="00212A70" w:rsidP="00212A70">
      <w:pPr>
        <w:widowControl w:val="0"/>
        <w:spacing w:after="120"/>
        <w:ind w:left="540" w:right="5"/>
        <w:jc w:val="both"/>
        <w:rPr>
          <w:rFonts w:ascii="Arial" w:hAnsi="Arial" w:cs="Arial"/>
          <w:color w:val="000000"/>
          <w:sz w:val="22"/>
          <w:szCs w:val="22"/>
        </w:rPr>
      </w:pPr>
      <w:r w:rsidRPr="007A19EF">
        <w:rPr>
          <w:rFonts w:ascii="Arial" w:hAnsi="Arial" w:cs="Arial"/>
          <w:b/>
          <w:sz w:val="22"/>
          <w:szCs w:val="22"/>
        </w:rPr>
        <w:t>Provision for Annual Leave</w:t>
      </w:r>
      <w:r w:rsidRPr="007A19EF">
        <w:rPr>
          <w:rFonts w:ascii="Arial" w:hAnsi="Arial" w:cs="Arial"/>
          <w:sz w:val="22"/>
          <w:szCs w:val="22"/>
        </w:rPr>
        <w:t xml:space="preserve"> represents employee entitlements due and accrued as at 30 June.  The provision has been calculated </w:t>
      </w:r>
      <w:r w:rsidRPr="007A19EF">
        <w:rPr>
          <w:rFonts w:ascii="Arial" w:hAnsi="Arial" w:cs="Arial"/>
          <w:color w:val="000000"/>
          <w:sz w:val="22"/>
          <w:szCs w:val="22"/>
          <w:lang w:val="en-US"/>
        </w:rPr>
        <w:t>using the remuneration rates the Commission expects to pay when the obligations are settled</w:t>
      </w:r>
      <w:r w:rsidRPr="007A19EF">
        <w:rPr>
          <w:rFonts w:ascii="Arial" w:hAnsi="Arial" w:cs="Arial"/>
          <w:color w:val="000000"/>
          <w:sz w:val="22"/>
          <w:szCs w:val="22"/>
        </w:rPr>
        <w:t>.</w:t>
      </w:r>
    </w:p>
    <w:p w:rsidR="00212A70" w:rsidRPr="007A19EF" w:rsidRDefault="00212A70" w:rsidP="00212A70">
      <w:pPr>
        <w:widowControl w:val="0"/>
        <w:spacing w:after="120"/>
        <w:ind w:left="540" w:right="5"/>
        <w:jc w:val="both"/>
        <w:rPr>
          <w:rFonts w:ascii="Arial" w:hAnsi="Arial" w:cs="Arial"/>
          <w:sz w:val="22"/>
          <w:szCs w:val="22"/>
        </w:rPr>
      </w:pPr>
      <w:r w:rsidRPr="007A19EF">
        <w:rPr>
          <w:rFonts w:ascii="Arial" w:hAnsi="Arial" w:cs="Arial"/>
          <w:b/>
          <w:sz w:val="22"/>
          <w:szCs w:val="22"/>
        </w:rPr>
        <w:t>Superannuation and Payroll Tax</w:t>
      </w:r>
      <w:r w:rsidRPr="007A19EF">
        <w:rPr>
          <w:rFonts w:ascii="Arial" w:hAnsi="Arial" w:cs="Arial"/>
          <w:sz w:val="22"/>
          <w:szCs w:val="22"/>
        </w:rPr>
        <w:t xml:space="preserve"> </w:t>
      </w:r>
      <w:r w:rsidRPr="007A19EF">
        <w:rPr>
          <w:rFonts w:ascii="Arial" w:hAnsi="Arial" w:cs="Arial"/>
          <w:b/>
          <w:sz w:val="22"/>
          <w:szCs w:val="22"/>
        </w:rPr>
        <w:t>Provisions</w:t>
      </w:r>
      <w:r w:rsidRPr="007A19EF">
        <w:rPr>
          <w:rFonts w:ascii="Arial" w:hAnsi="Arial" w:cs="Arial"/>
          <w:sz w:val="22"/>
          <w:szCs w:val="22"/>
        </w:rPr>
        <w:t xml:space="preserve"> are calculated by applying the appr</w:t>
      </w:r>
      <w:smartTag w:uri="urn:schemas-microsoft-com:office:smarttags" w:element="PersonName">
        <w:r w:rsidRPr="007A19EF">
          <w:rPr>
            <w:rFonts w:ascii="Arial" w:hAnsi="Arial" w:cs="Arial"/>
            <w:sz w:val="22"/>
            <w:szCs w:val="22"/>
          </w:rPr>
          <w:t>opr</w:t>
        </w:r>
      </w:smartTag>
      <w:r w:rsidRPr="007A19EF">
        <w:rPr>
          <w:rFonts w:ascii="Arial" w:hAnsi="Arial" w:cs="Arial"/>
          <w:sz w:val="22"/>
          <w:szCs w:val="22"/>
        </w:rPr>
        <w:t>iate superannuation and payroll tax rates to the liabilities calculated for Long Service Leave and Annual Leave.</w:t>
      </w:r>
    </w:p>
    <w:p w:rsidR="00212A70" w:rsidRPr="007A19EF" w:rsidRDefault="00212A70" w:rsidP="00A85F83">
      <w:pPr>
        <w:keepNext/>
        <w:keepLines/>
        <w:spacing w:after="120"/>
        <w:ind w:left="539" w:firstLine="23"/>
        <w:jc w:val="both"/>
        <w:rPr>
          <w:rFonts w:ascii="Arial" w:hAnsi="Arial" w:cs="Arial"/>
          <w:sz w:val="22"/>
          <w:szCs w:val="22"/>
        </w:rPr>
      </w:pPr>
      <w:r w:rsidRPr="007A19EF">
        <w:rPr>
          <w:rFonts w:ascii="Arial" w:hAnsi="Arial" w:cs="Arial"/>
          <w:b/>
          <w:sz w:val="22"/>
          <w:szCs w:val="22"/>
        </w:rPr>
        <w:t>Sick Leave</w:t>
      </w:r>
      <w:r w:rsidRPr="009D5D72">
        <w:rPr>
          <w:rFonts w:ascii="Arial" w:hAnsi="Arial" w:cs="Arial"/>
          <w:sz w:val="22"/>
          <w:szCs w:val="22"/>
        </w:rPr>
        <w:t xml:space="preserve"> </w:t>
      </w:r>
      <w:r w:rsidR="009D5D72">
        <w:rPr>
          <w:rFonts w:ascii="Arial" w:hAnsi="Arial" w:cs="Arial"/>
          <w:sz w:val="22"/>
          <w:szCs w:val="22"/>
        </w:rPr>
        <w:t>t</w:t>
      </w:r>
      <w:r w:rsidRPr="007A19EF">
        <w:rPr>
          <w:rFonts w:ascii="Arial" w:hAnsi="Arial" w:cs="Arial"/>
          <w:sz w:val="22"/>
          <w:szCs w:val="22"/>
        </w:rPr>
        <w:t>he Commission does not provide for sick leave. All of the Commission’s sick leave is non-vesting, and it is thus inappr</w:t>
      </w:r>
      <w:smartTag w:uri="urn:schemas-microsoft-com:office:smarttags" w:element="PersonName">
        <w:r w:rsidRPr="007A19EF">
          <w:rPr>
            <w:rFonts w:ascii="Arial" w:hAnsi="Arial" w:cs="Arial"/>
            <w:sz w:val="22"/>
            <w:szCs w:val="22"/>
          </w:rPr>
          <w:t>opr</w:t>
        </w:r>
      </w:smartTag>
      <w:r w:rsidRPr="007A19EF">
        <w:rPr>
          <w:rFonts w:ascii="Arial" w:hAnsi="Arial" w:cs="Arial"/>
          <w:sz w:val="22"/>
          <w:szCs w:val="22"/>
        </w:rPr>
        <w:t>iate to make provision for future sick leave.</w:t>
      </w:r>
    </w:p>
    <w:p w:rsidR="00212A70" w:rsidRPr="0054638D" w:rsidRDefault="00212A70" w:rsidP="0083415A">
      <w:pPr>
        <w:keepNext/>
        <w:keepLines/>
        <w:numPr>
          <w:ilvl w:val="0"/>
          <w:numId w:val="6"/>
        </w:numPr>
        <w:tabs>
          <w:tab w:val="clear" w:pos="737"/>
          <w:tab w:val="num" w:pos="567"/>
        </w:tabs>
        <w:spacing w:before="120" w:after="120"/>
        <w:ind w:left="567" w:right="6" w:hanging="567"/>
        <w:jc w:val="both"/>
        <w:rPr>
          <w:rFonts w:ascii="Arial" w:hAnsi="Arial" w:cs="Arial"/>
          <w:b/>
          <w:sz w:val="22"/>
          <w:szCs w:val="22"/>
        </w:rPr>
      </w:pPr>
      <w:r w:rsidRPr="007A19EF">
        <w:rPr>
          <w:rFonts w:ascii="Arial" w:hAnsi="Arial" w:cs="Arial"/>
          <w:b/>
          <w:sz w:val="22"/>
          <w:szCs w:val="22"/>
        </w:rPr>
        <w:t>Superannuation</w:t>
      </w:r>
    </w:p>
    <w:p w:rsidR="00212A70" w:rsidRPr="007A19EF" w:rsidRDefault="00212A70" w:rsidP="00212A70">
      <w:pPr>
        <w:widowControl w:val="0"/>
        <w:tabs>
          <w:tab w:val="left" w:pos="540"/>
        </w:tabs>
        <w:spacing w:after="120"/>
        <w:ind w:left="540" w:right="5" w:hanging="9"/>
        <w:jc w:val="both"/>
        <w:rPr>
          <w:rFonts w:ascii="Arial" w:hAnsi="Arial" w:cs="Arial"/>
          <w:sz w:val="22"/>
          <w:szCs w:val="22"/>
        </w:rPr>
      </w:pPr>
      <w:r w:rsidRPr="007A19EF">
        <w:rPr>
          <w:rFonts w:ascii="Arial" w:hAnsi="Arial" w:cs="Arial"/>
          <w:sz w:val="22"/>
          <w:szCs w:val="22"/>
        </w:rPr>
        <w:t xml:space="preserve">The Commission up until </w:t>
      </w:r>
      <w:smartTag w:uri="urn:schemas-microsoft-com:office:smarttags" w:element="date">
        <w:smartTagPr>
          <w:attr w:name="Month" w:val="4"/>
          <w:attr w:name="Day" w:val="30"/>
          <w:attr w:name="Year" w:val="2006"/>
        </w:smartTagPr>
        <w:r w:rsidRPr="007A19EF">
          <w:rPr>
            <w:rFonts w:ascii="Arial" w:hAnsi="Arial" w:cs="Arial"/>
            <w:sz w:val="22"/>
            <w:szCs w:val="22"/>
          </w:rPr>
          <w:t>30 April 2006</w:t>
        </w:r>
      </w:smartTag>
      <w:r w:rsidRPr="007A19EF">
        <w:rPr>
          <w:rFonts w:ascii="Arial" w:hAnsi="Arial" w:cs="Arial"/>
          <w:sz w:val="22"/>
          <w:szCs w:val="22"/>
        </w:rPr>
        <w:t xml:space="preserve">, by virtue of the </w:t>
      </w:r>
      <w:r w:rsidRPr="007A19EF">
        <w:rPr>
          <w:rFonts w:ascii="Arial" w:hAnsi="Arial" w:cs="Arial"/>
          <w:i/>
          <w:sz w:val="22"/>
          <w:szCs w:val="22"/>
        </w:rPr>
        <w:t>State Fire Commission Superannuation Scheme Act 1994</w:t>
      </w:r>
      <w:r w:rsidRPr="007A19EF">
        <w:rPr>
          <w:rFonts w:ascii="Arial" w:hAnsi="Arial" w:cs="Arial"/>
          <w:sz w:val="22"/>
          <w:szCs w:val="22"/>
        </w:rPr>
        <w:t xml:space="preserve">, operated the State Fire Commission Superannuation Scheme for employees of the State Fire Commission classified under the </w:t>
      </w:r>
      <w:r w:rsidRPr="007A19EF">
        <w:rPr>
          <w:rFonts w:ascii="Arial" w:hAnsi="Arial" w:cs="Arial"/>
          <w:i/>
          <w:sz w:val="22"/>
          <w:szCs w:val="22"/>
        </w:rPr>
        <w:t>Tasmanian Fire Fighting Industry Employees Award</w:t>
      </w:r>
      <w:r w:rsidRPr="007A19EF">
        <w:rPr>
          <w:rFonts w:ascii="Arial" w:hAnsi="Arial" w:cs="Arial"/>
          <w:sz w:val="22"/>
          <w:szCs w:val="22"/>
        </w:rPr>
        <w:t xml:space="preserve">.  This scheme was closed to new members on </w:t>
      </w:r>
      <w:smartTag w:uri="urn:schemas-microsoft-com:office:smarttags" w:element="date">
        <w:smartTagPr>
          <w:attr w:name="Month" w:val="6"/>
          <w:attr w:name="Day" w:val="30"/>
          <w:attr w:name="Year" w:val="2005"/>
        </w:smartTagPr>
        <w:r w:rsidRPr="007A19EF">
          <w:rPr>
            <w:rFonts w:ascii="Arial" w:hAnsi="Arial" w:cs="Arial"/>
            <w:sz w:val="22"/>
            <w:szCs w:val="22"/>
          </w:rPr>
          <w:t>30 June 2005</w:t>
        </w:r>
      </w:smartTag>
      <w:r w:rsidRPr="007A19EF">
        <w:rPr>
          <w:rFonts w:ascii="Arial" w:hAnsi="Arial" w:cs="Arial"/>
          <w:sz w:val="22"/>
          <w:szCs w:val="22"/>
        </w:rPr>
        <w:t xml:space="preserve">.  Effective </w:t>
      </w:r>
      <w:smartTag w:uri="urn:schemas-microsoft-com:office:smarttags" w:element="date">
        <w:smartTagPr>
          <w:attr w:name="Month" w:val="5"/>
          <w:attr w:name="Day" w:val="1"/>
          <w:attr w:name="Year" w:val="2006"/>
        </w:smartTagPr>
        <w:r w:rsidRPr="007A19EF">
          <w:rPr>
            <w:rFonts w:ascii="Arial" w:hAnsi="Arial" w:cs="Arial"/>
            <w:sz w:val="22"/>
            <w:szCs w:val="22"/>
          </w:rPr>
          <w:t>1 May 2006</w:t>
        </w:r>
      </w:smartTag>
      <w:r w:rsidRPr="007A19EF">
        <w:rPr>
          <w:rFonts w:ascii="Arial" w:hAnsi="Arial" w:cs="Arial"/>
          <w:sz w:val="22"/>
          <w:szCs w:val="22"/>
        </w:rPr>
        <w:t xml:space="preserve"> the </w:t>
      </w:r>
      <w:r w:rsidRPr="007A19EF">
        <w:rPr>
          <w:rFonts w:ascii="Arial" w:hAnsi="Arial" w:cs="Arial"/>
          <w:i/>
          <w:sz w:val="22"/>
          <w:szCs w:val="22"/>
        </w:rPr>
        <w:t>State Fire Commission Superannuation Scheme Act 1994</w:t>
      </w:r>
      <w:r w:rsidRPr="007A19EF">
        <w:rPr>
          <w:rFonts w:ascii="Arial" w:hAnsi="Arial" w:cs="Arial"/>
          <w:sz w:val="22"/>
          <w:szCs w:val="22"/>
        </w:rPr>
        <w:t xml:space="preserve"> was repealed by the </w:t>
      </w:r>
      <w:r w:rsidRPr="007A19EF">
        <w:rPr>
          <w:rFonts w:ascii="Arial" w:hAnsi="Arial" w:cs="Arial"/>
          <w:i/>
          <w:sz w:val="22"/>
          <w:szCs w:val="22"/>
        </w:rPr>
        <w:t>Retirement Benefits (State Fire Commission Superannuation Scheme) Act 2005.</w:t>
      </w:r>
      <w:r w:rsidRPr="007A19EF">
        <w:rPr>
          <w:rFonts w:ascii="Arial" w:hAnsi="Arial" w:cs="Arial"/>
          <w:sz w:val="22"/>
          <w:szCs w:val="22"/>
        </w:rPr>
        <w:t xml:space="preserve">  The Scheme is now administered by the Retirement Benefits Board and the defined benefits component of the Scheme is now a subfund of the Retirement Benefits Fund.  The accumulation benefits component was transferred to the Tasmanian Accumulation Scheme and forms part of the Retirement Benefits Fund.  The Commission remains responsible for ensuring adequate funding of the defined benefits component of the Scheme.  The Commission’s net obligation in relation to the Scheme is recorded in the </w:t>
      </w:r>
      <w:smartTag w:uri="urn:schemas-microsoft-com:office:smarttags" w:element="stockticker">
        <w:r w:rsidRPr="007A19EF">
          <w:rPr>
            <w:rFonts w:ascii="Arial" w:hAnsi="Arial" w:cs="Arial"/>
            <w:sz w:val="22"/>
            <w:szCs w:val="22"/>
          </w:rPr>
          <w:t>SFC</w:t>
        </w:r>
      </w:smartTag>
      <w:r w:rsidRPr="007A19EF">
        <w:rPr>
          <w:rFonts w:ascii="Arial" w:hAnsi="Arial" w:cs="Arial"/>
          <w:sz w:val="22"/>
          <w:szCs w:val="22"/>
        </w:rPr>
        <w:t xml:space="preserve"> Superannuation Fund Net Liability if it is a liability or in </w:t>
      </w:r>
      <w:smartTag w:uri="urn:schemas-microsoft-com:office:smarttags" w:element="stockticker">
        <w:r w:rsidRPr="007A19EF">
          <w:rPr>
            <w:rFonts w:ascii="Arial" w:hAnsi="Arial" w:cs="Arial"/>
            <w:sz w:val="22"/>
            <w:szCs w:val="22"/>
          </w:rPr>
          <w:t>SFC</w:t>
        </w:r>
      </w:smartTag>
      <w:r w:rsidRPr="007A19EF">
        <w:rPr>
          <w:rFonts w:ascii="Arial" w:hAnsi="Arial" w:cs="Arial"/>
          <w:sz w:val="22"/>
          <w:szCs w:val="22"/>
        </w:rPr>
        <w:t xml:space="preserve"> Superannuation Fund Net Asset if it is an asset and net movement in the obligation is recorded in the Statement of Recognised Income and Expense.  Actuarial gains and losses in relation to this fund are recognised in the year they are incurred. </w:t>
      </w:r>
    </w:p>
    <w:p w:rsidR="00212A70" w:rsidRPr="007A19EF" w:rsidRDefault="00212A70" w:rsidP="000C2800">
      <w:pPr>
        <w:tabs>
          <w:tab w:val="left" w:pos="540"/>
        </w:tabs>
        <w:spacing w:after="120"/>
        <w:ind w:left="540" w:right="-102"/>
        <w:jc w:val="both"/>
        <w:rPr>
          <w:rFonts w:ascii="Arial" w:hAnsi="Arial" w:cs="Arial"/>
          <w:sz w:val="22"/>
          <w:szCs w:val="22"/>
        </w:rPr>
      </w:pPr>
      <w:r w:rsidRPr="007A19EF">
        <w:rPr>
          <w:rFonts w:ascii="Arial" w:hAnsi="Arial" w:cs="Arial"/>
          <w:sz w:val="22"/>
          <w:szCs w:val="22"/>
        </w:rPr>
        <w:t>The Commission also makes employer superannuation contributions based as a minimum on the Commonwealth’s Superannuation Guarantee rate for State Award employees.  These employees may elect to have their contributions forwarded to any complying superannuation scheme.</w:t>
      </w:r>
    </w:p>
    <w:p w:rsidR="00212A70" w:rsidRPr="007A19EF" w:rsidRDefault="00212A70" w:rsidP="007B223B">
      <w:pPr>
        <w:tabs>
          <w:tab w:val="left" w:pos="540"/>
        </w:tabs>
        <w:spacing w:after="100" w:afterAutospacing="1"/>
        <w:ind w:left="539" w:right="-102"/>
        <w:jc w:val="both"/>
        <w:rPr>
          <w:rFonts w:ascii="Arial" w:hAnsi="Arial" w:cs="Arial"/>
          <w:sz w:val="22"/>
          <w:szCs w:val="22"/>
        </w:rPr>
      </w:pPr>
      <w:r w:rsidRPr="007A19EF">
        <w:rPr>
          <w:rFonts w:ascii="Arial" w:hAnsi="Arial" w:cs="Arial"/>
          <w:sz w:val="22"/>
          <w:szCs w:val="22"/>
        </w:rPr>
        <w:t xml:space="preserve">Prior to </w:t>
      </w:r>
      <w:smartTag w:uri="urn:schemas-microsoft-com:office:smarttags" w:element="date">
        <w:smartTagPr>
          <w:attr w:name="Month" w:val="7"/>
          <w:attr w:name="Day" w:val="1"/>
          <w:attr w:name="Year" w:val="1986"/>
        </w:smartTagPr>
        <w:r w:rsidRPr="007A19EF">
          <w:rPr>
            <w:rFonts w:ascii="Arial" w:hAnsi="Arial" w:cs="Arial"/>
            <w:sz w:val="22"/>
            <w:szCs w:val="22"/>
          </w:rPr>
          <w:t>1 July 1986</w:t>
        </w:r>
      </w:smartTag>
      <w:r w:rsidRPr="007A19EF">
        <w:rPr>
          <w:rFonts w:ascii="Arial" w:hAnsi="Arial" w:cs="Arial"/>
          <w:sz w:val="22"/>
          <w:szCs w:val="22"/>
        </w:rPr>
        <w:t xml:space="preserve"> the State Fire Commission maintained its own fully funded superannuation scheme for Commission employees who contributed to the Retirement Benefits Fund. As at </w:t>
      </w:r>
      <w:smartTag w:uri="urn:schemas-microsoft-com:office:smarttags" w:element="date">
        <w:smartTagPr>
          <w:attr w:name="Month" w:val="6"/>
          <w:attr w:name="Day" w:val="30"/>
          <w:attr w:name="Year" w:val="1986"/>
        </w:smartTagPr>
        <w:r w:rsidRPr="007A19EF">
          <w:rPr>
            <w:rFonts w:ascii="Arial" w:hAnsi="Arial" w:cs="Arial"/>
            <w:sz w:val="22"/>
            <w:szCs w:val="22"/>
          </w:rPr>
          <w:t>30 June 1986</w:t>
        </w:r>
      </w:smartTag>
      <w:r w:rsidRPr="007A19EF">
        <w:rPr>
          <w:rFonts w:ascii="Arial" w:hAnsi="Arial" w:cs="Arial"/>
          <w:sz w:val="22"/>
          <w:szCs w:val="22"/>
        </w:rPr>
        <w:t xml:space="preserve"> the provision had accumulated to $2,447,447 and this amount was recorded in the Commission's accounts. As at </w:t>
      </w:r>
      <w:smartTag w:uri="urn:schemas-microsoft-com:office:smarttags" w:element="date">
        <w:smartTagPr>
          <w:attr w:name="Month" w:val="7"/>
          <w:attr w:name="Day" w:val="1"/>
          <w:attr w:name="Year" w:val="1986"/>
        </w:smartTagPr>
        <w:r w:rsidRPr="007A19EF">
          <w:rPr>
            <w:rFonts w:ascii="Arial" w:hAnsi="Arial" w:cs="Arial"/>
            <w:sz w:val="22"/>
            <w:szCs w:val="22"/>
          </w:rPr>
          <w:t>1 July 1986</w:t>
        </w:r>
      </w:smartTag>
      <w:r w:rsidRPr="007A19EF">
        <w:rPr>
          <w:rFonts w:ascii="Arial" w:hAnsi="Arial" w:cs="Arial"/>
          <w:sz w:val="22"/>
          <w:szCs w:val="22"/>
        </w:rPr>
        <w:t xml:space="preserve"> accounting for Retirement Benefits Fund Superannuation entitlements was transferred to the State Treasury. A payment representing the provision as at </w:t>
      </w:r>
      <w:smartTag w:uri="urn:schemas-microsoft-com:office:smarttags" w:element="date">
        <w:smartTagPr>
          <w:attr w:name="Month" w:val="6"/>
          <w:attr w:name="Day" w:val="30"/>
          <w:attr w:name="Year" w:val="1986"/>
        </w:smartTagPr>
        <w:r w:rsidRPr="007A19EF">
          <w:rPr>
            <w:rFonts w:ascii="Arial" w:hAnsi="Arial" w:cs="Arial"/>
            <w:sz w:val="22"/>
            <w:szCs w:val="22"/>
          </w:rPr>
          <w:t>30 June 1986</w:t>
        </w:r>
      </w:smartTag>
      <w:r w:rsidRPr="007A19EF">
        <w:rPr>
          <w:rFonts w:ascii="Arial" w:hAnsi="Arial" w:cs="Arial"/>
          <w:sz w:val="22"/>
          <w:szCs w:val="22"/>
        </w:rPr>
        <w:t xml:space="preserve"> of $2,447,447 was made to the State Treasury on the condition that the Government would fund the existing and future superannuation liability of Commission employees.</w:t>
      </w:r>
    </w:p>
    <w:p w:rsidR="00212A70" w:rsidRPr="0054638D"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Investments</w:t>
      </w:r>
    </w:p>
    <w:p w:rsidR="00212A70" w:rsidRPr="007A19EF" w:rsidRDefault="00212A70" w:rsidP="00212A70">
      <w:pPr>
        <w:tabs>
          <w:tab w:val="left" w:pos="567"/>
        </w:tabs>
        <w:spacing w:after="120"/>
        <w:ind w:left="567" w:right="6" w:hanging="567"/>
        <w:jc w:val="both"/>
        <w:rPr>
          <w:rFonts w:ascii="Arial" w:hAnsi="Arial" w:cs="Arial"/>
          <w:sz w:val="22"/>
          <w:szCs w:val="22"/>
        </w:rPr>
      </w:pPr>
      <w:r w:rsidRPr="007A19EF">
        <w:rPr>
          <w:rFonts w:ascii="Arial" w:hAnsi="Arial" w:cs="Arial"/>
          <w:sz w:val="22"/>
          <w:szCs w:val="22"/>
        </w:rPr>
        <w:tab/>
        <w:t>The Commission conducts its investment and borrowing programs with the Tasmanian Public Finance Corporation (Tascorp) and private investment managers.</w:t>
      </w:r>
    </w:p>
    <w:p w:rsidR="00212A70" w:rsidRPr="007A19EF" w:rsidRDefault="00212A70" w:rsidP="007B223B">
      <w:pPr>
        <w:tabs>
          <w:tab w:val="left" w:pos="567"/>
        </w:tabs>
        <w:spacing w:after="100" w:afterAutospacing="1"/>
        <w:ind w:left="567" w:right="6" w:hanging="567"/>
        <w:jc w:val="both"/>
        <w:rPr>
          <w:rFonts w:ascii="Arial" w:hAnsi="Arial" w:cs="Arial"/>
          <w:sz w:val="22"/>
          <w:szCs w:val="22"/>
        </w:rPr>
      </w:pPr>
      <w:r w:rsidRPr="007A19EF">
        <w:rPr>
          <w:rFonts w:ascii="Arial" w:hAnsi="Arial" w:cs="Arial"/>
          <w:sz w:val="22"/>
          <w:szCs w:val="22"/>
        </w:rPr>
        <w:tab/>
        <w:t>Investments are carried at the face value of the amounts deposited. The carrying value of investments approximates the net fair value. Interest revenue is accrued at the market or contracted rate.</w:t>
      </w:r>
    </w:p>
    <w:p w:rsidR="00212A70" w:rsidRPr="007A19EF"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Interest Bearing Liabilities</w:t>
      </w:r>
    </w:p>
    <w:p w:rsidR="00212A70" w:rsidRPr="007A19EF" w:rsidRDefault="00212A70" w:rsidP="007B223B">
      <w:pPr>
        <w:spacing w:after="100" w:afterAutospacing="1"/>
        <w:ind w:left="539" w:right="6"/>
        <w:jc w:val="both"/>
        <w:rPr>
          <w:rFonts w:ascii="Arial" w:hAnsi="Arial" w:cs="Arial"/>
          <w:b/>
          <w:sz w:val="22"/>
          <w:szCs w:val="22"/>
        </w:rPr>
      </w:pPr>
      <w:r w:rsidRPr="007A19EF">
        <w:rPr>
          <w:rFonts w:ascii="Arial" w:hAnsi="Arial" w:cs="Arial"/>
          <w:sz w:val="22"/>
          <w:szCs w:val="22"/>
        </w:rPr>
        <w:t>Loans and bank overdrafts are carried at fair (face) value.  Where appr</w:t>
      </w:r>
      <w:smartTag w:uri="urn:schemas-microsoft-com:office:smarttags" w:element="PersonName">
        <w:r w:rsidRPr="007A19EF">
          <w:rPr>
            <w:rFonts w:ascii="Arial" w:hAnsi="Arial" w:cs="Arial"/>
            <w:sz w:val="22"/>
            <w:szCs w:val="22"/>
          </w:rPr>
          <w:t>opr</w:t>
        </w:r>
      </w:smartTag>
      <w:r w:rsidRPr="007A19EF">
        <w:rPr>
          <w:rFonts w:ascii="Arial" w:hAnsi="Arial" w:cs="Arial"/>
          <w:sz w:val="22"/>
          <w:szCs w:val="22"/>
        </w:rPr>
        <w:t>iate, interest expense is accrued at the contractual rate and included in Accrued Expenses.</w:t>
      </w:r>
      <w:r w:rsidRPr="007A19EF">
        <w:rPr>
          <w:rFonts w:ascii="Arial" w:hAnsi="Arial" w:cs="Arial"/>
          <w:b/>
          <w:sz w:val="22"/>
          <w:szCs w:val="22"/>
        </w:rPr>
        <w:t xml:space="preserve"> </w:t>
      </w:r>
    </w:p>
    <w:p w:rsidR="00212A70" w:rsidRPr="0054638D"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 xml:space="preserve">Cash and Short Term Deposits </w:t>
      </w:r>
    </w:p>
    <w:p w:rsidR="00212A70" w:rsidRPr="007A19EF" w:rsidRDefault="00212A70" w:rsidP="004608DF">
      <w:pPr>
        <w:keepNext/>
        <w:keepLines/>
        <w:tabs>
          <w:tab w:val="left" w:pos="540"/>
        </w:tabs>
        <w:spacing w:after="120"/>
        <w:ind w:left="540" w:right="6"/>
        <w:jc w:val="both"/>
        <w:rPr>
          <w:rFonts w:ascii="Arial" w:hAnsi="Arial" w:cs="Arial"/>
          <w:sz w:val="22"/>
          <w:szCs w:val="22"/>
        </w:rPr>
      </w:pPr>
      <w:r w:rsidRPr="007A19EF">
        <w:rPr>
          <w:rFonts w:ascii="Arial" w:hAnsi="Arial" w:cs="Arial"/>
          <w:sz w:val="22"/>
          <w:szCs w:val="22"/>
        </w:rPr>
        <w:t>All cash transactions are recorded through the Commission’s bank account.</w:t>
      </w:r>
    </w:p>
    <w:p w:rsidR="00212A70" w:rsidRPr="007A19EF" w:rsidRDefault="00212A70" w:rsidP="007B223B">
      <w:pPr>
        <w:tabs>
          <w:tab w:val="left" w:pos="540"/>
        </w:tabs>
        <w:spacing w:after="100" w:afterAutospacing="1"/>
        <w:ind w:left="539" w:right="6"/>
        <w:jc w:val="both"/>
        <w:rPr>
          <w:rFonts w:ascii="Arial" w:hAnsi="Arial" w:cs="Arial"/>
          <w:sz w:val="22"/>
          <w:szCs w:val="22"/>
        </w:rPr>
      </w:pPr>
      <w:r w:rsidRPr="007A19EF">
        <w:rPr>
          <w:rFonts w:ascii="Arial" w:hAnsi="Arial" w:cs="Arial"/>
          <w:sz w:val="22"/>
          <w:szCs w:val="22"/>
        </w:rPr>
        <w:t>Cash and short-term deposits are carried at fair (face) value.  Interest revenue is accrued at the market or contractual rate.</w:t>
      </w:r>
    </w:p>
    <w:p w:rsidR="00212A70" w:rsidRPr="007A19EF"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Payables, Accrued Expenses and Commitments</w:t>
      </w:r>
    </w:p>
    <w:p w:rsidR="00212A70" w:rsidRPr="007A19EF" w:rsidRDefault="00212A70" w:rsidP="007B223B">
      <w:pPr>
        <w:tabs>
          <w:tab w:val="left" w:pos="540"/>
        </w:tabs>
        <w:spacing w:after="100" w:afterAutospacing="1"/>
        <w:ind w:left="539" w:right="6"/>
        <w:jc w:val="both"/>
        <w:rPr>
          <w:rFonts w:ascii="Arial" w:hAnsi="Arial" w:cs="Arial"/>
          <w:sz w:val="22"/>
          <w:szCs w:val="22"/>
        </w:rPr>
      </w:pPr>
      <w:r w:rsidRPr="007A19EF">
        <w:rPr>
          <w:rFonts w:ascii="Arial" w:hAnsi="Arial" w:cs="Arial"/>
          <w:sz w:val="22"/>
          <w:szCs w:val="22"/>
        </w:rPr>
        <w:t>Liabilities are recognised for amounts to be paid for goods and services received, whether or not billed to the Commission.  Payables, accrued expenses and commitments are carried at fair value.</w:t>
      </w:r>
    </w:p>
    <w:p w:rsidR="00212A70" w:rsidRPr="007A19EF"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 xml:space="preserve">Provision for Depreciation </w:t>
      </w:r>
    </w:p>
    <w:p w:rsidR="00212A70" w:rsidRPr="007A19EF" w:rsidRDefault="00212A70" w:rsidP="00F61DB5">
      <w:pPr>
        <w:keepLines/>
        <w:tabs>
          <w:tab w:val="left" w:pos="567"/>
        </w:tabs>
        <w:spacing w:after="120"/>
        <w:ind w:left="567" w:hanging="567"/>
        <w:jc w:val="both"/>
        <w:rPr>
          <w:rFonts w:ascii="Arial" w:hAnsi="Arial" w:cs="Arial"/>
          <w:sz w:val="22"/>
          <w:szCs w:val="22"/>
        </w:rPr>
      </w:pPr>
      <w:r w:rsidRPr="007A19EF">
        <w:rPr>
          <w:rFonts w:ascii="Arial" w:hAnsi="Arial" w:cs="Arial"/>
          <w:sz w:val="22"/>
          <w:szCs w:val="22"/>
        </w:rPr>
        <w:tab/>
        <w:t>Items of property, plant and equipment, including buildings but excluding freehold land, are depreciated over their estimated useful lives.</w:t>
      </w:r>
    </w:p>
    <w:p w:rsidR="00212A70" w:rsidRPr="007A19EF" w:rsidRDefault="00212A70" w:rsidP="00F61DB5">
      <w:pPr>
        <w:keepLines/>
        <w:tabs>
          <w:tab w:val="left" w:pos="567"/>
        </w:tabs>
        <w:spacing w:after="240"/>
        <w:ind w:left="567" w:hanging="567"/>
        <w:jc w:val="both"/>
        <w:rPr>
          <w:rFonts w:ascii="Arial" w:hAnsi="Arial" w:cs="Arial"/>
          <w:sz w:val="22"/>
          <w:szCs w:val="22"/>
        </w:rPr>
      </w:pPr>
      <w:r w:rsidRPr="007A19EF">
        <w:rPr>
          <w:rFonts w:ascii="Arial" w:hAnsi="Arial" w:cs="Arial"/>
          <w:sz w:val="22"/>
          <w:szCs w:val="22"/>
        </w:rPr>
        <w:tab/>
        <w:t>All items are depreciated using the straight line method of depreciation at the following rates: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1842"/>
      </w:tblGrid>
      <w:tr w:rsidR="00212A70" w:rsidRPr="007A19EF">
        <w:tc>
          <w:tcPr>
            <w:tcW w:w="5387" w:type="dxa"/>
          </w:tcPr>
          <w:p w:rsidR="00212A70" w:rsidRPr="007A19EF" w:rsidRDefault="00212A70" w:rsidP="00F61DB5">
            <w:pPr>
              <w:keepLines/>
              <w:tabs>
                <w:tab w:val="left" w:pos="317"/>
              </w:tabs>
              <w:spacing w:before="120" w:after="120"/>
              <w:ind w:right="-102"/>
              <w:rPr>
                <w:rFonts w:ascii="Arial" w:hAnsi="Arial" w:cs="Arial"/>
                <w:sz w:val="22"/>
                <w:szCs w:val="22"/>
              </w:rPr>
            </w:pPr>
            <w:r w:rsidRPr="007A19EF">
              <w:rPr>
                <w:rFonts w:ascii="Arial" w:hAnsi="Arial" w:cs="Arial"/>
                <w:sz w:val="22"/>
                <w:szCs w:val="22"/>
              </w:rPr>
              <w:tab/>
              <w:t>Buildings</w:t>
            </w:r>
          </w:p>
        </w:tc>
        <w:tc>
          <w:tcPr>
            <w:tcW w:w="1842" w:type="dxa"/>
          </w:tcPr>
          <w:p w:rsidR="00212A70" w:rsidRPr="007A19EF" w:rsidRDefault="00212A70" w:rsidP="00F61DB5">
            <w:pPr>
              <w:keepLines/>
              <w:spacing w:before="120" w:after="120"/>
              <w:ind w:right="-102"/>
              <w:jc w:val="center"/>
              <w:rPr>
                <w:rFonts w:ascii="Arial" w:hAnsi="Arial" w:cs="Arial"/>
                <w:sz w:val="22"/>
                <w:szCs w:val="22"/>
              </w:rPr>
            </w:pPr>
            <w:r w:rsidRPr="007A19EF">
              <w:rPr>
                <w:rFonts w:ascii="Arial" w:hAnsi="Arial" w:cs="Arial"/>
                <w:sz w:val="22"/>
                <w:szCs w:val="22"/>
              </w:rPr>
              <w:t>1.0% -3.3%</w:t>
            </w:r>
          </w:p>
        </w:tc>
      </w:tr>
      <w:tr w:rsidR="00212A70" w:rsidRPr="007A19EF">
        <w:tc>
          <w:tcPr>
            <w:tcW w:w="5387" w:type="dxa"/>
          </w:tcPr>
          <w:p w:rsidR="00212A70" w:rsidRPr="007A19EF" w:rsidRDefault="00212A70" w:rsidP="00F61DB5">
            <w:pPr>
              <w:keepLines/>
              <w:tabs>
                <w:tab w:val="left" w:pos="317"/>
              </w:tabs>
              <w:spacing w:before="120" w:after="120"/>
              <w:ind w:right="-102"/>
              <w:rPr>
                <w:rFonts w:ascii="Arial" w:hAnsi="Arial" w:cs="Arial"/>
                <w:sz w:val="22"/>
                <w:szCs w:val="22"/>
              </w:rPr>
            </w:pPr>
            <w:r w:rsidRPr="007A19EF">
              <w:rPr>
                <w:rFonts w:ascii="Arial" w:hAnsi="Arial" w:cs="Arial"/>
                <w:sz w:val="22"/>
                <w:szCs w:val="22"/>
              </w:rPr>
              <w:tab/>
              <w:t xml:space="preserve">Motor Vehicles </w:t>
            </w:r>
          </w:p>
        </w:tc>
        <w:tc>
          <w:tcPr>
            <w:tcW w:w="1842" w:type="dxa"/>
          </w:tcPr>
          <w:p w:rsidR="00212A70" w:rsidRPr="007A19EF" w:rsidRDefault="00212A70" w:rsidP="00F61DB5">
            <w:pPr>
              <w:keepLines/>
              <w:spacing w:before="120" w:after="120"/>
              <w:ind w:right="-102"/>
              <w:jc w:val="center"/>
              <w:rPr>
                <w:rFonts w:ascii="Arial" w:hAnsi="Arial" w:cs="Arial"/>
                <w:sz w:val="22"/>
                <w:szCs w:val="22"/>
              </w:rPr>
            </w:pPr>
            <w:r w:rsidRPr="007A19EF">
              <w:rPr>
                <w:rFonts w:ascii="Arial" w:hAnsi="Arial" w:cs="Arial"/>
                <w:sz w:val="22"/>
                <w:szCs w:val="22"/>
              </w:rPr>
              <w:t>4% - 20%</w:t>
            </w:r>
          </w:p>
        </w:tc>
      </w:tr>
      <w:tr w:rsidR="00212A70" w:rsidRPr="007A19EF">
        <w:tc>
          <w:tcPr>
            <w:tcW w:w="5387" w:type="dxa"/>
          </w:tcPr>
          <w:p w:rsidR="00212A70" w:rsidRPr="007A19EF" w:rsidRDefault="00A82053" w:rsidP="00F61DB5">
            <w:pPr>
              <w:keepLines/>
              <w:tabs>
                <w:tab w:val="left" w:pos="317"/>
              </w:tabs>
              <w:spacing w:before="120" w:after="120"/>
              <w:ind w:right="-102"/>
              <w:rPr>
                <w:rFonts w:ascii="Arial" w:hAnsi="Arial" w:cs="Arial"/>
                <w:sz w:val="22"/>
                <w:szCs w:val="22"/>
              </w:rPr>
            </w:pPr>
            <w:r w:rsidRPr="007A19EF">
              <w:rPr>
                <w:rFonts w:ascii="Arial" w:hAnsi="Arial" w:cs="Arial"/>
                <w:sz w:val="22"/>
                <w:szCs w:val="22"/>
              </w:rPr>
              <w:tab/>
            </w:r>
            <w:r w:rsidR="00212A70" w:rsidRPr="007A19EF">
              <w:rPr>
                <w:rFonts w:ascii="Arial" w:hAnsi="Arial" w:cs="Arial"/>
                <w:sz w:val="22"/>
                <w:szCs w:val="22"/>
              </w:rPr>
              <w:t>Fire Appliances</w:t>
            </w:r>
          </w:p>
        </w:tc>
        <w:tc>
          <w:tcPr>
            <w:tcW w:w="1842" w:type="dxa"/>
          </w:tcPr>
          <w:p w:rsidR="00212A70" w:rsidRPr="007A19EF" w:rsidRDefault="00212A70" w:rsidP="00F61DB5">
            <w:pPr>
              <w:keepLines/>
              <w:spacing w:before="120" w:after="120"/>
              <w:ind w:right="-102"/>
              <w:jc w:val="center"/>
              <w:rPr>
                <w:rFonts w:ascii="Arial" w:hAnsi="Arial" w:cs="Arial"/>
                <w:sz w:val="22"/>
                <w:szCs w:val="22"/>
              </w:rPr>
            </w:pPr>
            <w:r w:rsidRPr="007A19EF">
              <w:rPr>
                <w:rFonts w:ascii="Arial" w:hAnsi="Arial" w:cs="Arial"/>
                <w:sz w:val="22"/>
                <w:szCs w:val="22"/>
              </w:rPr>
              <w:t>4% - 5%</w:t>
            </w:r>
          </w:p>
        </w:tc>
      </w:tr>
      <w:tr w:rsidR="00212A70" w:rsidRPr="007A19EF">
        <w:tc>
          <w:tcPr>
            <w:tcW w:w="5387" w:type="dxa"/>
          </w:tcPr>
          <w:p w:rsidR="00212A70" w:rsidRPr="007A19EF" w:rsidRDefault="00212A70" w:rsidP="00F61DB5">
            <w:pPr>
              <w:keepLines/>
              <w:tabs>
                <w:tab w:val="left" w:pos="317"/>
              </w:tabs>
              <w:spacing w:before="120" w:after="120"/>
              <w:ind w:right="-102"/>
              <w:rPr>
                <w:rFonts w:ascii="Arial" w:hAnsi="Arial" w:cs="Arial"/>
                <w:sz w:val="22"/>
                <w:szCs w:val="22"/>
              </w:rPr>
            </w:pPr>
            <w:r w:rsidRPr="007A19EF">
              <w:rPr>
                <w:rFonts w:ascii="Arial" w:hAnsi="Arial" w:cs="Arial"/>
                <w:sz w:val="22"/>
                <w:szCs w:val="22"/>
              </w:rPr>
              <w:tab/>
              <w:t>Plant and Equipment</w:t>
            </w:r>
          </w:p>
        </w:tc>
        <w:tc>
          <w:tcPr>
            <w:tcW w:w="1842" w:type="dxa"/>
          </w:tcPr>
          <w:p w:rsidR="00212A70" w:rsidRPr="007A19EF" w:rsidRDefault="00212A70" w:rsidP="00F61DB5">
            <w:pPr>
              <w:keepLines/>
              <w:spacing w:before="120" w:after="120"/>
              <w:ind w:right="-102"/>
              <w:jc w:val="center"/>
              <w:rPr>
                <w:rFonts w:ascii="Arial" w:hAnsi="Arial" w:cs="Arial"/>
                <w:sz w:val="22"/>
                <w:szCs w:val="22"/>
              </w:rPr>
            </w:pPr>
            <w:r w:rsidRPr="007A19EF">
              <w:rPr>
                <w:rFonts w:ascii="Arial" w:hAnsi="Arial" w:cs="Arial"/>
                <w:sz w:val="22"/>
                <w:szCs w:val="22"/>
              </w:rPr>
              <w:t>6.6% - 33.3%</w:t>
            </w:r>
          </w:p>
        </w:tc>
      </w:tr>
    </w:tbl>
    <w:p w:rsidR="00212A70" w:rsidRPr="007A19EF" w:rsidRDefault="00212A70" w:rsidP="00F61DB5">
      <w:pPr>
        <w:tabs>
          <w:tab w:val="left" w:pos="567"/>
        </w:tabs>
        <w:spacing w:before="240" w:after="120"/>
        <w:ind w:left="567" w:right="-102" w:hanging="567"/>
        <w:jc w:val="both"/>
        <w:rPr>
          <w:rFonts w:ascii="Arial" w:hAnsi="Arial" w:cs="Arial"/>
          <w:sz w:val="22"/>
          <w:szCs w:val="22"/>
        </w:rPr>
      </w:pPr>
      <w:r w:rsidRPr="007A19EF">
        <w:rPr>
          <w:rFonts w:ascii="Arial" w:hAnsi="Arial" w:cs="Arial"/>
          <w:sz w:val="22"/>
          <w:szCs w:val="22"/>
        </w:rPr>
        <w:tab/>
        <w:t>Assets are depreciated from the date of acquisition or, in respect of internally constructed assets, from the time an asset is completed and held ready for use.</w:t>
      </w:r>
    </w:p>
    <w:p w:rsidR="00212A70" w:rsidRPr="007A19EF"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Cash, Short Term Deposits and Bank Overdrafts</w:t>
      </w:r>
    </w:p>
    <w:p w:rsidR="00212A70" w:rsidRPr="007A19EF" w:rsidRDefault="00212A70" w:rsidP="00212A70">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 xml:space="preserve">The Commission operates its own bank account and all cash transactions relating to </w:t>
      </w:r>
      <w:r w:rsidR="000C2800">
        <w:rPr>
          <w:rFonts w:ascii="Arial" w:hAnsi="Arial" w:cs="Arial"/>
          <w:sz w:val="22"/>
          <w:szCs w:val="22"/>
        </w:rPr>
        <w:t>d</w:t>
      </w:r>
      <w:r w:rsidR="000C2800" w:rsidRPr="007A19EF">
        <w:rPr>
          <w:rFonts w:ascii="Arial" w:hAnsi="Arial" w:cs="Arial"/>
          <w:sz w:val="22"/>
          <w:szCs w:val="22"/>
        </w:rPr>
        <w:t xml:space="preserve">ivisions </w:t>
      </w:r>
      <w:r w:rsidRPr="007A19EF">
        <w:rPr>
          <w:rFonts w:ascii="Arial" w:hAnsi="Arial" w:cs="Arial"/>
          <w:sz w:val="22"/>
          <w:szCs w:val="22"/>
        </w:rPr>
        <w:t xml:space="preserve">and </w:t>
      </w:r>
      <w:r w:rsidR="000C2800">
        <w:rPr>
          <w:rFonts w:ascii="Arial" w:hAnsi="Arial" w:cs="Arial"/>
          <w:sz w:val="22"/>
          <w:szCs w:val="22"/>
        </w:rPr>
        <w:t>b</w:t>
      </w:r>
      <w:r w:rsidR="000C2800" w:rsidRPr="007A19EF">
        <w:rPr>
          <w:rFonts w:ascii="Arial" w:hAnsi="Arial" w:cs="Arial"/>
          <w:sz w:val="22"/>
          <w:szCs w:val="22"/>
        </w:rPr>
        <w:t xml:space="preserve">rigades </w:t>
      </w:r>
      <w:r w:rsidRPr="007A19EF">
        <w:rPr>
          <w:rFonts w:ascii="Arial" w:hAnsi="Arial" w:cs="Arial"/>
          <w:sz w:val="22"/>
          <w:szCs w:val="22"/>
        </w:rPr>
        <w:t>are recorded through this account.</w:t>
      </w:r>
    </w:p>
    <w:p w:rsidR="00212A70" w:rsidRPr="007A19EF" w:rsidRDefault="00212A70" w:rsidP="00A85F83">
      <w:pPr>
        <w:tabs>
          <w:tab w:val="left" w:pos="567"/>
        </w:tabs>
        <w:spacing w:after="240"/>
        <w:ind w:left="567" w:hanging="567"/>
        <w:jc w:val="both"/>
        <w:rPr>
          <w:rFonts w:ascii="Arial" w:hAnsi="Arial" w:cs="Arial"/>
          <w:sz w:val="22"/>
          <w:szCs w:val="22"/>
        </w:rPr>
      </w:pPr>
      <w:r w:rsidRPr="007A19EF">
        <w:rPr>
          <w:rFonts w:ascii="Arial" w:hAnsi="Arial" w:cs="Arial"/>
          <w:sz w:val="22"/>
          <w:szCs w:val="22"/>
        </w:rPr>
        <w:tab/>
        <w:t>Cash, short-term deposits and bank overdrafts are carried at face value of the amounts deposited or drawn. The carrying amount of cash, short-term deposits and bank overdrafts approximates net fair value. Interest revenue is accrued at the market or contractual rate.</w:t>
      </w:r>
    </w:p>
    <w:p w:rsidR="00212A70" w:rsidRPr="007A19EF" w:rsidRDefault="00212A70" w:rsidP="00A85F83">
      <w:pPr>
        <w:keepNext/>
        <w:keepLines/>
        <w:tabs>
          <w:tab w:val="left" w:pos="567"/>
        </w:tabs>
        <w:spacing w:before="240" w:after="240"/>
        <w:jc w:val="both"/>
        <w:rPr>
          <w:rFonts w:ascii="Arial" w:hAnsi="Arial" w:cs="Arial"/>
          <w:b/>
          <w:sz w:val="22"/>
          <w:szCs w:val="22"/>
        </w:rPr>
      </w:pPr>
      <w:r w:rsidRPr="007A19EF">
        <w:rPr>
          <w:rFonts w:ascii="Arial" w:hAnsi="Arial" w:cs="Arial"/>
          <w:b/>
          <w:sz w:val="22"/>
          <w:szCs w:val="22"/>
        </w:rPr>
        <w:t>9.2</w:t>
      </w:r>
      <w:r w:rsidRPr="007A19EF">
        <w:rPr>
          <w:rFonts w:ascii="Arial" w:hAnsi="Arial" w:cs="Arial"/>
          <w:b/>
          <w:sz w:val="22"/>
          <w:szCs w:val="22"/>
        </w:rPr>
        <w:tab/>
        <w:t>Work in Progress/Capital Works Commitments</w:t>
      </w:r>
    </w:p>
    <w:p w:rsidR="00212A70" w:rsidRPr="007A19EF" w:rsidRDefault="00212A70" w:rsidP="00212A70">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Work in progress represents capital expenditure to date plus Capital Works Commitments.</w:t>
      </w:r>
    </w:p>
    <w:p w:rsidR="00212A70" w:rsidRPr="007A19EF" w:rsidRDefault="00212A70" w:rsidP="00A85F83">
      <w:pPr>
        <w:keepNext/>
        <w:keepLines/>
        <w:tabs>
          <w:tab w:val="left" w:pos="567"/>
        </w:tabs>
        <w:spacing w:before="240" w:after="240"/>
        <w:jc w:val="both"/>
        <w:rPr>
          <w:rFonts w:ascii="Arial" w:hAnsi="Arial" w:cs="Arial"/>
          <w:b/>
          <w:sz w:val="22"/>
          <w:szCs w:val="22"/>
        </w:rPr>
      </w:pPr>
      <w:r w:rsidRPr="007A19EF">
        <w:rPr>
          <w:rFonts w:ascii="Arial" w:hAnsi="Arial" w:cs="Arial"/>
          <w:b/>
          <w:sz w:val="22"/>
          <w:szCs w:val="22"/>
        </w:rPr>
        <w:t>9.3</w:t>
      </w:r>
      <w:r w:rsidRPr="007A19EF">
        <w:rPr>
          <w:rFonts w:ascii="Arial" w:hAnsi="Arial" w:cs="Arial"/>
          <w:b/>
          <w:sz w:val="22"/>
          <w:szCs w:val="22"/>
        </w:rPr>
        <w:tab/>
        <w:t>Non-Current Assets</w:t>
      </w:r>
    </w:p>
    <w:p w:rsidR="00212A70" w:rsidRPr="007A19EF" w:rsidRDefault="00212A70" w:rsidP="00212A70">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Plant and Equipment comprises the following major categories of assets: Fire Fighting Equipment, Workshop and Other Equipment, Radio and Communications Equipment, Office Furniture and Equipment and Computer Equipment.</w:t>
      </w:r>
    </w:p>
    <w:p w:rsidR="00212A70" w:rsidRPr="007A19EF" w:rsidRDefault="00212A70" w:rsidP="00A85F83">
      <w:pPr>
        <w:keepNext/>
        <w:keepLines/>
        <w:tabs>
          <w:tab w:val="left" w:pos="567"/>
        </w:tabs>
        <w:spacing w:before="240" w:after="240"/>
        <w:jc w:val="both"/>
        <w:rPr>
          <w:rFonts w:ascii="Arial" w:hAnsi="Arial" w:cs="Arial"/>
          <w:b/>
          <w:sz w:val="22"/>
          <w:szCs w:val="22"/>
        </w:rPr>
      </w:pPr>
      <w:r w:rsidRPr="007A19EF">
        <w:rPr>
          <w:rFonts w:ascii="Arial" w:hAnsi="Arial" w:cs="Arial"/>
          <w:b/>
          <w:sz w:val="22"/>
          <w:szCs w:val="22"/>
        </w:rPr>
        <w:t>9.4</w:t>
      </w:r>
      <w:r w:rsidRPr="007A19EF">
        <w:rPr>
          <w:rFonts w:ascii="Arial" w:hAnsi="Arial" w:cs="Arial"/>
          <w:b/>
          <w:sz w:val="22"/>
          <w:szCs w:val="22"/>
        </w:rPr>
        <w:tab/>
        <w:t>Bank Overdraft</w:t>
      </w:r>
    </w:p>
    <w:p w:rsidR="00212A70" w:rsidRPr="007A19EF" w:rsidRDefault="00212A70" w:rsidP="00212A70">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The bank overdraft of the Commission is unsecured and subject to annual review.</w:t>
      </w:r>
    </w:p>
    <w:p w:rsidR="00212A70" w:rsidRPr="007A19EF" w:rsidRDefault="00212A70" w:rsidP="00471D55">
      <w:pPr>
        <w:keepNext/>
        <w:keepLines/>
        <w:tabs>
          <w:tab w:val="left" w:pos="567"/>
        </w:tabs>
        <w:spacing w:before="240" w:after="120"/>
        <w:jc w:val="both"/>
        <w:rPr>
          <w:rFonts w:ascii="Arial" w:hAnsi="Arial" w:cs="Arial"/>
          <w:b/>
          <w:sz w:val="22"/>
          <w:szCs w:val="22"/>
        </w:rPr>
      </w:pPr>
      <w:r w:rsidRPr="007A19EF">
        <w:rPr>
          <w:rFonts w:ascii="Arial" w:hAnsi="Arial" w:cs="Arial"/>
          <w:b/>
          <w:sz w:val="22"/>
          <w:szCs w:val="22"/>
        </w:rPr>
        <w:t>9.5</w:t>
      </w:r>
      <w:r w:rsidRPr="007A19EF">
        <w:rPr>
          <w:rFonts w:ascii="Arial" w:hAnsi="Arial" w:cs="Arial"/>
          <w:b/>
          <w:sz w:val="22"/>
          <w:szCs w:val="22"/>
        </w:rPr>
        <w:tab/>
        <w:t>Loans</w:t>
      </w:r>
    </w:p>
    <w:p w:rsidR="00212A70" w:rsidRPr="007A19EF" w:rsidRDefault="00212A70" w:rsidP="00212A70">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Since 1986, all loan</w:t>
      </w:r>
      <w:r w:rsidR="0054638D">
        <w:rPr>
          <w:rFonts w:ascii="Arial" w:hAnsi="Arial" w:cs="Arial"/>
          <w:sz w:val="22"/>
          <w:szCs w:val="22"/>
        </w:rPr>
        <w:t>s</w:t>
      </w:r>
      <w:r w:rsidRPr="007A19EF">
        <w:rPr>
          <w:rFonts w:ascii="Arial" w:hAnsi="Arial" w:cs="Arial"/>
          <w:sz w:val="22"/>
          <w:szCs w:val="22"/>
        </w:rPr>
        <w:t xml:space="preserve"> rais</w:t>
      </w:r>
      <w:r w:rsidR="0054638D">
        <w:rPr>
          <w:rFonts w:ascii="Arial" w:hAnsi="Arial" w:cs="Arial"/>
          <w:sz w:val="22"/>
          <w:szCs w:val="22"/>
        </w:rPr>
        <w:t>ed</w:t>
      </w:r>
      <w:r w:rsidRPr="007A19EF">
        <w:rPr>
          <w:rFonts w:ascii="Arial" w:hAnsi="Arial" w:cs="Arial"/>
          <w:sz w:val="22"/>
          <w:szCs w:val="22"/>
        </w:rPr>
        <w:t xml:space="preserve"> ha</w:t>
      </w:r>
      <w:r w:rsidR="0054638D">
        <w:rPr>
          <w:rFonts w:ascii="Arial" w:hAnsi="Arial" w:cs="Arial"/>
          <w:sz w:val="22"/>
          <w:szCs w:val="22"/>
        </w:rPr>
        <w:t>ve</w:t>
      </w:r>
      <w:r w:rsidRPr="007A19EF">
        <w:rPr>
          <w:rFonts w:ascii="Arial" w:hAnsi="Arial" w:cs="Arial"/>
          <w:sz w:val="22"/>
          <w:szCs w:val="22"/>
        </w:rPr>
        <w:t xml:space="preserve"> been arranged through the Tasmanian Public Finance Corporation.</w:t>
      </w:r>
    </w:p>
    <w:p w:rsidR="00212A70" w:rsidRPr="007A19EF" w:rsidRDefault="00212A70" w:rsidP="00212A70">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All loans are recorded in Australian dollars. The loan amount in current liabilities comprises the portions of the loans payable within one year. The non-current loan balance represents the portion of the loans not due within one year.</w:t>
      </w:r>
    </w:p>
    <w:p w:rsidR="00212A70" w:rsidRPr="0054638D" w:rsidRDefault="0054638D" w:rsidP="00471D55">
      <w:pPr>
        <w:keepNext/>
        <w:keepLines/>
        <w:tabs>
          <w:tab w:val="left" w:pos="567"/>
        </w:tabs>
        <w:spacing w:before="240" w:after="120"/>
        <w:jc w:val="both"/>
        <w:rPr>
          <w:rFonts w:ascii="Arial" w:hAnsi="Arial" w:cs="Arial"/>
          <w:b/>
          <w:sz w:val="22"/>
          <w:szCs w:val="22"/>
        </w:rPr>
      </w:pPr>
      <w:r w:rsidRPr="0054638D">
        <w:rPr>
          <w:rFonts w:ascii="Arial" w:hAnsi="Arial" w:cs="Arial"/>
          <w:b/>
          <w:sz w:val="22"/>
          <w:szCs w:val="22"/>
        </w:rPr>
        <w:t>9.6</w:t>
      </w:r>
      <w:r>
        <w:rPr>
          <w:rFonts w:ascii="Arial" w:hAnsi="Arial" w:cs="Arial"/>
          <w:b/>
          <w:sz w:val="22"/>
          <w:szCs w:val="22"/>
        </w:rPr>
        <w:tab/>
      </w:r>
      <w:r w:rsidR="00212A70" w:rsidRPr="0054638D">
        <w:rPr>
          <w:rFonts w:ascii="Arial" w:hAnsi="Arial" w:cs="Arial"/>
          <w:b/>
          <w:sz w:val="22"/>
          <w:szCs w:val="22"/>
        </w:rPr>
        <w:t>Credit Risk Exposures</w:t>
      </w:r>
    </w:p>
    <w:p w:rsidR="00212A70" w:rsidRPr="007A19EF" w:rsidRDefault="00212A70" w:rsidP="0054638D">
      <w:pPr>
        <w:spacing w:after="120"/>
        <w:ind w:left="540"/>
        <w:jc w:val="both"/>
        <w:rPr>
          <w:rFonts w:ascii="Arial" w:hAnsi="Arial" w:cs="Arial"/>
          <w:sz w:val="22"/>
          <w:szCs w:val="22"/>
        </w:rPr>
      </w:pPr>
      <w:r w:rsidRPr="007A19EF">
        <w:rPr>
          <w:rFonts w:ascii="Arial" w:hAnsi="Arial" w:cs="Arial"/>
          <w:sz w:val="22"/>
          <w:szCs w:val="22"/>
        </w:rPr>
        <w:t>Credit risk represents the loss that would be recognised if counterparties failed to perform as contracted.</w:t>
      </w:r>
    </w:p>
    <w:p w:rsidR="00212A70" w:rsidRPr="007A19EF" w:rsidRDefault="00212A70" w:rsidP="0054638D">
      <w:pPr>
        <w:spacing w:after="120"/>
        <w:ind w:left="540"/>
        <w:jc w:val="both"/>
        <w:rPr>
          <w:rFonts w:ascii="Arial" w:hAnsi="Arial" w:cs="Arial"/>
          <w:sz w:val="22"/>
          <w:szCs w:val="22"/>
        </w:rPr>
      </w:pPr>
      <w:r w:rsidRPr="007A19EF">
        <w:rPr>
          <w:rFonts w:ascii="Arial" w:hAnsi="Arial" w:cs="Arial"/>
          <w:sz w:val="22"/>
          <w:szCs w:val="22"/>
        </w:rPr>
        <w:t>The credit risk on financial assets excluding investments, of the Commission, which has been recognised on the Balance Sheet, is the carrying amount, net of any provision for doubtful debts.</w:t>
      </w:r>
    </w:p>
    <w:p w:rsidR="00212A70" w:rsidRPr="007A19EF" w:rsidRDefault="00212A70" w:rsidP="00471D55">
      <w:pPr>
        <w:keepNext/>
        <w:keepLines/>
        <w:tabs>
          <w:tab w:val="left" w:pos="567"/>
        </w:tabs>
        <w:spacing w:before="240" w:after="120"/>
        <w:jc w:val="both"/>
        <w:rPr>
          <w:rFonts w:ascii="Arial" w:hAnsi="Arial" w:cs="Arial"/>
          <w:b/>
          <w:sz w:val="22"/>
          <w:szCs w:val="22"/>
        </w:rPr>
      </w:pPr>
      <w:r w:rsidRPr="007A19EF">
        <w:rPr>
          <w:rFonts w:ascii="Arial" w:hAnsi="Arial" w:cs="Arial"/>
          <w:b/>
          <w:sz w:val="22"/>
          <w:szCs w:val="22"/>
        </w:rPr>
        <w:t>9.</w:t>
      </w:r>
      <w:r w:rsidR="0054638D">
        <w:rPr>
          <w:rFonts w:ascii="Arial" w:hAnsi="Arial" w:cs="Arial"/>
          <w:b/>
          <w:sz w:val="22"/>
          <w:szCs w:val="22"/>
        </w:rPr>
        <w:t>7</w:t>
      </w:r>
      <w:r w:rsidRPr="007A19EF">
        <w:rPr>
          <w:rFonts w:ascii="Arial" w:hAnsi="Arial" w:cs="Arial"/>
          <w:b/>
          <w:sz w:val="22"/>
          <w:szCs w:val="22"/>
        </w:rPr>
        <w:tab/>
        <w:t>Insurance Fire Levy</w:t>
      </w:r>
    </w:p>
    <w:p w:rsidR="00212A70" w:rsidRPr="007A19EF" w:rsidRDefault="00212A70" w:rsidP="00471D55">
      <w:pPr>
        <w:tabs>
          <w:tab w:val="left" w:pos="567"/>
        </w:tabs>
        <w:ind w:left="567" w:hanging="567"/>
        <w:jc w:val="both"/>
        <w:rPr>
          <w:rFonts w:ascii="Arial" w:hAnsi="Arial" w:cs="Arial"/>
          <w:sz w:val="22"/>
          <w:szCs w:val="22"/>
        </w:rPr>
      </w:pPr>
      <w:r w:rsidRPr="007A19EF">
        <w:rPr>
          <w:rFonts w:ascii="Arial" w:hAnsi="Arial" w:cs="Arial"/>
          <w:sz w:val="22"/>
          <w:szCs w:val="22"/>
        </w:rPr>
        <w:tab/>
        <w:t xml:space="preserve">Contributions are received from insurance companies in respect of premium income on certain prescribed classes of insurance where the risks insured are situated in </w:t>
      </w:r>
      <w:smartTag w:uri="urn:schemas-microsoft-com:office:smarttags" w:element="State">
        <w:smartTag w:uri="urn:schemas-microsoft-com:office:smarttags" w:element="place">
          <w:r w:rsidRPr="007A19EF">
            <w:rPr>
              <w:rFonts w:ascii="Arial" w:hAnsi="Arial" w:cs="Arial"/>
              <w:sz w:val="22"/>
              <w:szCs w:val="22"/>
            </w:rPr>
            <w:t>Tasmania</w:t>
          </w:r>
        </w:smartTag>
      </w:smartTag>
      <w:r w:rsidRPr="007A19EF">
        <w:rPr>
          <w:rFonts w:ascii="Arial" w:hAnsi="Arial" w:cs="Arial"/>
          <w:sz w:val="22"/>
          <w:szCs w:val="22"/>
        </w:rPr>
        <w:t>.  Contributions are received monthly with an approved lodgement return.  The current insurance fire levy is 2% on marine cargo insurance, 14% on aviation hull insurance, and 28% on other classes of insurance.  The first two rates were established in November 1986 and the last was increased from 14% in October 1990.</w:t>
      </w:r>
    </w:p>
    <w:p w:rsidR="00212A70" w:rsidRPr="007A19EF" w:rsidRDefault="00212A70" w:rsidP="00471D55">
      <w:pPr>
        <w:keepNext/>
        <w:keepLines/>
        <w:tabs>
          <w:tab w:val="left" w:pos="567"/>
        </w:tabs>
        <w:spacing w:before="240" w:after="120"/>
        <w:jc w:val="both"/>
        <w:rPr>
          <w:rFonts w:ascii="Arial" w:hAnsi="Arial" w:cs="Arial"/>
          <w:b/>
          <w:sz w:val="22"/>
          <w:szCs w:val="22"/>
        </w:rPr>
      </w:pPr>
      <w:r w:rsidRPr="007A19EF">
        <w:rPr>
          <w:rFonts w:ascii="Arial" w:hAnsi="Arial" w:cs="Arial"/>
          <w:b/>
          <w:sz w:val="22"/>
          <w:szCs w:val="22"/>
        </w:rPr>
        <w:t>9.</w:t>
      </w:r>
      <w:r w:rsidR="0054638D">
        <w:rPr>
          <w:rFonts w:ascii="Arial" w:hAnsi="Arial" w:cs="Arial"/>
          <w:b/>
          <w:sz w:val="22"/>
          <w:szCs w:val="22"/>
        </w:rPr>
        <w:t>8</w:t>
      </w:r>
      <w:r w:rsidRPr="007A19EF">
        <w:rPr>
          <w:rFonts w:ascii="Arial" w:hAnsi="Arial" w:cs="Arial"/>
          <w:b/>
          <w:sz w:val="22"/>
          <w:szCs w:val="22"/>
        </w:rPr>
        <w:tab/>
        <w:t>Fire Service Contribution</w:t>
      </w:r>
    </w:p>
    <w:p w:rsidR="00DF19EC" w:rsidRPr="007A19EF" w:rsidRDefault="00D03499" w:rsidP="00471D55">
      <w:pPr>
        <w:tabs>
          <w:tab w:val="left" w:pos="567"/>
        </w:tabs>
        <w:spacing w:before="120" w:after="240"/>
        <w:ind w:left="567" w:hanging="567"/>
        <w:jc w:val="both"/>
        <w:rPr>
          <w:rFonts w:ascii="Arial" w:hAnsi="Arial" w:cs="Arial"/>
          <w:sz w:val="22"/>
          <w:szCs w:val="22"/>
        </w:rPr>
      </w:pPr>
      <w:r>
        <w:rPr>
          <w:rFonts w:ascii="Arial" w:hAnsi="Arial" w:cs="Arial"/>
          <w:sz w:val="22"/>
          <w:szCs w:val="22"/>
        </w:rPr>
        <w:tab/>
      </w:r>
      <w:r w:rsidR="00DF19EC" w:rsidRPr="007A19EF">
        <w:rPr>
          <w:rFonts w:ascii="Arial" w:hAnsi="Arial" w:cs="Arial"/>
          <w:sz w:val="22"/>
          <w:szCs w:val="22"/>
        </w:rPr>
        <w:t>Contributions are collected by Councils through a fire contribution raised on properties. The Commission pays Councils a four per cent collection fee. A minimum levy of $25 has applied since 1990-91 in order to provide additional funds to re-equip volunteer brigades. A legislative change to the Act in 1999 resulted in the indexation of the minimum fire service contribution in line with movements in the consumer price index. The change</w:t>
      </w:r>
      <w:r w:rsidR="00DF19EC">
        <w:rPr>
          <w:rFonts w:ascii="Arial" w:hAnsi="Arial" w:cs="Arial"/>
          <w:sz w:val="22"/>
          <w:szCs w:val="22"/>
        </w:rPr>
        <w:t xml:space="preserve"> to the Act</w:t>
      </w:r>
      <w:r w:rsidR="00DF19EC" w:rsidRPr="007A19EF">
        <w:rPr>
          <w:rFonts w:ascii="Arial" w:hAnsi="Arial" w:cs="Arial"/>
          <w:sz w:val="22"/>
          <w:szCs w:val="22"/>
        </w:rPr>
        <w:t xml:space="preserve">, effective from 1 July 2001, will result in the minimum fire service contribution being increased </w:t>
      </w:r>
      <w:r w:rsidR="00DF19EC" w:rsidRPr="00C17F66">
        <w:rPr>
          <w:rFonts w:ascii="Arial" w:hAnsi="Arial" w:cs="Arial"/>
          <w:sz w:val="22"/>
          <w:szCs w:val="22"/>
        </w:rPr>
        <w:t>to $3</w:t>
      </w:r>
      <w:r w:rsidR="00264680">
        <w:rPr>
          <w:rFonts w:ascii="Arial" w:hAnsi="Arial" w:cs="Arial"/>
          <w:sz w:val="22"/>
          <w:szCs w:val="22"/>
        </w:rPr>
        <w:t>5</w:t>
      </w:r>
      <w:r w:rsidR="00DF19EC" w:rsidRPr="007A19EF">
        <w:rPr>
          <w:rFonts w:ascii="Arial" w:hAnsi="Arial" w:cs="Arial"/>
          <w:sz w:val="22"/>
          <w:szCs w:val="22"/>
        </w:rPr>
        <w:t xml:space="preserve"> for 20</w:t>
      </w:r>
      <w:r w:rsidR="00DF19EC">
        <w:rPr>
          <w:rFonts w:ascii="Arial" w:hAnsi="Arial" w:cs="Arial"/>
          <w:sz w:val="22"/>
          <w:szCs w:val="22"/>
        </w:rPr>
        <w:t>11</w:t>
      </w:r>
      <w:r w:rsidR="00DF19EC" w:rsidRPr="007A19EF">
        <w:rPr>
          <w:rFonts w:ascii="Arial" w:hAnsi="Arial" w:cs="Arial"/>
          <w:sz w:val="22"/>
          <w:szCs w:val="22"/>
        </w:rPr>
        <w:t>-20</w:t>
      </w:r>
      <w:r w:rsidR="00DF19EC">
        <w:rPr>
          <w:rFonts w:ascii="Arial" w:hAnsi="Arial" w:cs="Arial"/>
          <w:sz w:val="22"/>
          <w:szCs w:val="22"/>
        </w:rPr>
        <w:t>12</w:t>
      </w:r>
      <w:r w:rsidR="00DF19EC" w:rsidRPr="007A19EF">
        <w:rPr>
          <w:rFonts w:ascii="Arial" w:hAnsi="Arial" w:cs="Arial"/>
          <w:sz w:val="22"/>
          <w:szCs w:val="22"/>
        </w:rPr>
        <w:t>.</w:t>
      </w:r>
    </w:p>
    <w:p w:rsidR="009E07BA" w:rsidRPr="007A19EF" w:rsidRDefault="009E07BA" w:rsidP="00471D55">
      <w:pPr>
        <w:keepNext/>
        <w:keepLines/>
        <w:tabs>
          <w:tab w:val="left" w:pos="567"/>
        </w:tabs>
        <w:spacing w:before="240" w:after="120"/>
        <w:jc w:val="both"/>
        <w:rPr>
          <w:rFonts w:ascii="Arial" w:hAnsi="Arial" w:cs="Arial"/>
          <w:b/>
          <w:sz w:val="22"/>
          <w:szCs w:val="22"/>
        </w:rPr>
      </w:pPr>
      <w:r w:rsidRPr="007A19EF">
        <w:rPr>
          <w:rFonts w:ascii="Arial" w:hAnsi="Arial" w:cs="Arial"/>
          <w:b/>
          <w:sz w:val="22"/>
          <w:szCs w:val="22"/>
        </w:rPr>
        <w:t>9.</w:t>
      </w:r>
      <w:r w:rsidR="0054638D">
        <w:rPr>
          <w:rFonts w:ascii="Arial" w:hAnsi="Arial" w:cs="Arial"/>
          <w:b/>
          <w:sz w:val="22"/>
          <w:szCs w:val="22"/>
        </w:rPr>
        <w:t>9</w:t>
      </w:r>
      <w:r w:rsidRPr="007A19EF">
        <w:rPr>
          <w:rFonts w:ascii="Arial" w:hAnsi="Arial" w:cs="Arial"/>
          <w:b/>
          <w:sz w:val="22"/>
          <w:szCs w:val="22"/>
        </w:rPr>
        <w:tab/>
        <w:t>Payments from State and Commonwealth Governments</w:t>
      </w:r>
    </w:p>
    <w:p w:rsidR="009E07BA" w:rsidRPr="007A19EF" w:rsidRDefault="009E07BA" w:rsidP="009C2F05">
      <w:pPr>
        <w:keepNext/>
        <w:keepLines/>
        <w:tabs>
          <w:tab w:val="left" w:pos="567"/>
        </w:tabs>
        <w:spacing w:after="120"/>
        <w:ind w:left="567" w:hanging="567"/>
        <w:jc w:val="both"/>
        <w:rPr>
          <w:rFonts w:ascii="Arial" w:hAnsi="Arial" w:cs="Arial"/>
          <w:sz w:val="22"/>
          <w:szCs w:val="22"/>
        </w:rPr>
      </w:pPr>
      <w:r w:rsidRPr="007A19EF">
        <w:rPr>
          <w:rFonts w:ascii="Arial" w:hAnsi="Arial" w:cs="Arial"/>
          <w:sz w:val="22"/>
          <w:szCs w:val="22"/>
        </w:rPr>
        <w:tab/>
        <w:t xml:space="preserve">Under Section 101 of the </w:t>
      </w:r>
      <w:r w:rsidRPr="007A19EF">
        <w:rPr>
          <w:rFonts w:ascii="Arial" w:hAnsi="Arial" w:cs="Arial"/>
          <w:i/>
          <w:sz w:val="22"/>
          <w:szCs w:val="22"/>
        </w:rPr>
        <w:t xml:space="preserve">Fire Service Act 1979 </w:t>
      </w:r>
      <w:r w:rsidRPr="007A19EF">
        <w:rPr>
          <w:rFonts w:ascii="Arial" w:hAnsi="Arial" w:cs="Arial"/>
          <w:sz w:val="22"/>
          <w:szCs w:val="22"/>
        </w:rPr>
        <w:t>the Treasurer is required to pay out of moneys appr</w:t>
      </w:r>
      <w:smartTag w:uri="urn:schemas-microsoft-com:office:smarttags" w:element="PersonName">
        <w:r w:rsidRPr="007A19EF">
          <w:rPr>
            <w:rFonts w:ascii="Arial" w:hAnsi="Arial" w:cs="Arial"/>
            <w:sz w:val="22"/>
            <w:szCs w:val="22"/>
          </w:rPr>
          <w:t>opr</w:t>
        </w:r>
      </w:smartTag>
      <w:r w:rsidRPr="007A19EF">
        <w:rPr>
          <w:rFonts w:ascii="Arial" w:hAnsi="Arial" w:cs="Arial"/>
          <w:sz w:val="22"/>
          <w:szCs w:val="22"/>
        </w:rPr>
        <w:t>iated by Parliament, such amounts as the Treasurer determines is appr</w:t>
      </w:r>
      <w:smartTag w:uri="urn:schemas-microsoft-com:office:smarttags" w:element="PersonName">
        <w:r w:rsidRPr="007A19EF">
          <w:rPr>
            <w:rFonts w:ascii="Arial" w:hAnsi="Arial" w:cs="Arial"/>
            <w:sz w:val="22"/>
            <w:szCs w:val="22"/>
          </w:rPr>
          <w:t>opr</w:t>
        </w:r>
      </w:smartTag>
      <w:r w:rsidRPr="007A19EF">
        <w:rPr>
          <w:rFonts w:ascii="Arial" w:hAnsi="Arial" w:cs="Arial"/>
          <w:sz w:val="22"/>
          <w:szCs w:val="22"/>
        </w:rPr>
        <w:t>iate towards defraying the operating costs of the Commission.</w:t>
      </w:r>
    </w:p>
    <w:p w:rsidR="009E07BA" w:rsidRPr="007A19EF" w:rsidRDefault="009E07BA" w:rsidP="00471D55">
      <w:pPr>
        <w:tabs>
          <w:tab w:val="left" w:pos="567"/>
        </w:tabs>
        <w:spacing w:after="240"/>
        <w:ind w:left="567" w:hanging="567"/>
        <w:jc w:val="both"/>
        <w:rPr>
          <w:rFonts w:ascii="Arial" w:hAnsi="Arial" w:cs="Arial"/>
          <w:sz w:val="22"/>
          <w:szCs w:val="22"/>
        </w:rPr>
      </w:pPr>
      <w:r w:rsidRPr="007A19EF">
        <w:rPr>
          <w:rFonts w:ascii="Arial" w:hAnsi="Arial" w:cs="Arial"/>
          <w:sz w:val="22"/>
          <w:szCs w:val="22"/>
        </w:rPr>
        <w:tab/>
        <w:t>The Commonwealth Government pays to the Commission an annual contribution towards the operating cost of brigades.</w:t>
      </w:r>
    </w:p>
    <w:p w:rsidR="009E07BA" w:rsidRPr="007A19EF" w:rsidRDefault="009E07BA" w:rsidP="00471D55">
      <w:pPr>
        <w:keepNext/>
        <w:keepLines/>
        <w:tabs>
          <w:tab w:val="left" w:pos="567"/>
        </w:tabs>
        <w:spacing w:after="120"/>
        <w:jc w:val="both"/>
        <w:rPr>
          <w:rFonts w:ascii="Arial" w:hAnsi="Arial" w:cs="Arial"/>
          <w:b/>
          <w:sz w:val="22"/>
          <w:szCs w:val="22"/>
        </w:rPr>
      </w:pPr>
      <w:r w:rsidRPr="007A19EF">
        <w:rPr>
          <w:rFonts w:ascii="Arial" w:hAnsi="Arial" w:cs="Arial"/>
          <w:b/>
          <w:sz w:val="22"/>
          <w:szCs w:val="22"/>
        </w:rPr>
        <w:t>9.</w:t>
      </w:r>
      <w:r w:rsidR="0054638D">
        <w:rPr>
          <w:rFonts w:ascii="Arial" w:hAnsi="Arial" w:cs="Arial"/>
          <w:b/>
          <w:sz w:val="22"/>
          <w:szCs w:val="22"/>
        </w:rPr>
        <w:t>10</w:t>
      </w:r>
      <w:r w:rsidRPr="007A19EF">
        <w:rPr>
          <w:rFonts w:ascii="Arial" w:hAnsi="Arial" w:cs="Arial"/>
          <w:b/>
          <w:sz w:val="22"/>
          <w:szCs w:val="22"/>
        </w:rPr>
        <w:tab/>
        <w:t>Motor Vehicle Fire Levy</w:t>
      </w:r>
    </w:p>
    <w:p w:rsidR="009E07BA" w:rsidRPr="007A19EF" w:rsidRDefault="009E07BA" w:rsidP="00471D55">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 xml:space="preserve">The Commission receives income raised through a fire levy applied to all registered vehicles. This is collected by the Department of Infrastructure Energy </w:t>
      </w:r>
      <w:r w:rsidR="000C2800">
        <w:rPr>
          <w:rFonts w:ascii="Arial" w:hAnsi="Arial" w:cs="Arial"/>
          <w:sz w:val="22"/>
          <w:szCs w:val="22"/>
        </w:rPr>
        <w:t xml:space="preserve">and </w:t>
      </w:r>
      <w:r w:rsidRPr="007A19EF">
        <w:rPr>
          <w:rFonts w:ascii="Arial" w:hAnsi="Arial" w:cs="Arial"/>
          <w:sz w:val="22"/>
          <w:szCs w:val="22"/>
        </w:rPr>
        <w:t>Resources as part of the vehicle registration fee and forwarded to the Commission.</w:t>
      </w:r>
      <w:r w:rsidR="00CB592B">
        <w:rPr>
          <w:rFonts w:ascii="Arial" w:hAnsi="Arial" w:cs="Arial"/>
          <w:sz w:val="22"/>
          <w:szCs w:val="22"/>
        </w:rPr>
        <w:t xml:space="preserve"> For 2011</w:t>
      </w:r>
      <w:r w:rsidR="00F963BF">
        <w:rPr>
          <w:rFonts w:ascii="Arial" w:hAnsi="Arial" w:cs="Arial"/>
          <w:sz w:val="22"/>
          <w:szCs w:val="22"/>
        </w:rPr>
        <w:t>-</w:t>
      </w:r>
      <w:r w:rsidR="00CB592B">
        <w:rPr>
          <w:rFonts w:ascii="Arial" w:hAnsi="Arial" w:cs="Arial"/>
          <w:sz w:val="22"/>
          <w:szCs w:val="22"/>
        </w:rPr>
        <w:t>12 the Motor Vehicle Fire Levy will increase from $15 to $16 per vehicle.</w:t>
      </w:r>
    </w:p>
    <w:p w:rsidR="009E07BA" w:rsidRPr="007A19EF" w:rsidRDefault="009E07BA" w:rsidP="00A85F83">
      <w:pPr>
        <w:tabs>
          <w:tab w:val="left" w:pos="567"/>
        </w:tabs>
        <w:spacing w:after="120"/>
        <w:jc w:val="both"/>
        <w:rPr>
          <w:rFonts w:ascii="Arial" w:hAnsi="Arial" w:cs="Arial"/>
          <w:sz w:val="22"/>
          <w:szCs w:val="22"/>
        </w:rPr>
      </w:pPr>
      <w:r w:rsidRPr="007A19EF">
        <w:rPr>
          <w:rFonts w:ascii="Arial" w:hAnsi="Arial" w:cs="Arial"/>
          <w:sz w:val="22"/>
          <w:szCs w:val="22"/>
        </w:rPr>
        <w:tab/>
        <w:t>The levy is subject to movements in the Consumer Price Index.</w:t>
      </w:r>
    </w:p>
    <w:p w:rsidR="009E07BA" w:rsidRPr="007A19EF" w:rsidRDefault="00733164" w:rsidP="00A85F83">
      <w:pPr>
        <w:keepNext/>
        <w:keepLines/>
        <w:tabs>
          <w:tab w:val="left" w:pos="567"/>
        </w:tabs>
        <w:spacing w:before="240" w:after="240"/>
        <w:jc w:val="both"/>
        <w:rPr>
          <w:rFonts w:ascii="Arial" w:hAnsi="Arial" w:cs="Arial"/>
          <w:b/>
          <w:sz w:val="22"/>
          <w:szCs w:val="22"/>
        </w:rPr>
      </w:pPr>
      <w:r w:rsidRPr="007A19EF">
        <w:rPr>
          <w:rFonts w:ascii="Arial" w:hAnsi="Arial" w:cs="Arial"/>
          <w:b/>
          <w:sz w:val="22"/>
          <w:szCs w:val="22"/>
        </w:rPr>
        <w:t>9.</w:t>
      </w:r>
      <w:r>
        <w:rPr>
          <w:rFonts w:ascii="Arial" w:hAnsi="Arial" w:cs="Arial"/>
          <w:b/>
          <w:sz w:val="22"/>
          <w:szCs w:val="22"/>
        </w:rPr>
        <w:t>1</w:t>
      </w:r>
      <w:r w:rsidR="009D5D72">
        <w:rPr>
          <w:rFonts w:ascii="Arial" w:hAnsi="Arial" w:cs="Arial"/>
          <w:b/>
          <w:sz w:val="22"/>
          <w:szCs w:val="22"/>
        </w:rPr>
        <w:t>1</w:t>
      </w:r>
      <w:r>
        <w:rPr>
          <w:rFonts w:ascii="Arial" w:hAnsi="Arial" w:cs="Arial"/>
          <w:b/>
          <w:sz w:val="22"/>
          <w:szCs w:val="22"/>
        </w:rPr>
        <w:tab/>
      </w:r>
      <w:r w:rsidR="009E07BA" w:rsidRPr="007A19EF">
        <w:rPr>
          <w:rFonts w:ascii="Arial" w:hAnsi="Arial" w:cs="Arial"/>
          <w:b/>
          <w:sz w:val="22"/>
          <w:szCs w:val="22"/>
        </w:rPr>
        <w:t>Fire Prevention Charges</w:t>
      </w:r>
    </w:p>
    <w:p w:rsidR="009E07BA" w:rsidRPr="007A19EF" w:rsidRDefault="009E07BA" w:rsidP="009E07BA">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Revenue is raised by the Commission's Service Division and Brigades through the sale, inspection, recharging and repair of fire safety equipment throughout the State.</w:t>
      </w:r>
    </w:p>
    <w:p w:rsidR="009E07BA" w:rsidRPr="007A19EF" w:rsidRDefault="00733164" w:rsidP="00A85F83">
      <w:pPr>
        <w:keepNext/>
        <w:keepLines/>
        <w:tabs>
          <w:tab w:val="left" w:pos="567"/>
        </w:tabs>
        <w:spacing w:before="240" w:after="240"/>
        <w:jc w:val="both"/>
        <w:rPr>
          <w:rFonts w:ascii="Arial" w:hAnsi="Arial" w:cs="Arial"/>
          <w:b/>
          <w:sz w:val="22"/>
          <w:szCs w:val="22"/>
        </w:rPr>
      </w:pPr>
      <w:r>
        <w:rPr>
          <w:rFonts w:ascii="Arial" w:hAnsi="Arial" w:cs="Arial"/>
          <w:b/>
          <w:sz w:val="22"/>
          <w:szCs w:val="22"/>
        </w:rPr>
        <w:t>9.1</w:t>
      </w:r>
      <w:r w:rsidR="009D5D72">
        <w:rPr>
          <w:rFonts w:ascii="Arial" w:hAnsi="Arial" w:cs="Arial"/>
          <w:b/>
          <w:sz w:val="22"/>
          <w:szCs w:val="22"/>
        </w:rPr>
        <w:t>2</w:t>
      </w:r>
      <w:r>
        <w:rPr>
          <w:rFonts w:ascii="Arial" w:hAnsi="Arial" w:cs="Arial"/>
          <w:b/>
          <w:sz w:val="22"/>
          <w:szCs w:val="22"/>
        </w:rPr>
        <w:tab/>
        <w:t>R</w:t>
      </w:r>
      <w:r w:rsidR="009E07BA" w:rsidRPr="007A19EF">
        <w:rPr>
          <w:rFonts w:ascii="Arial" w:hAnsi="Arial" w:cs="Arial"/>
          <w:b/>
          <w:sz w:val="22"/>
          <w:szCs w:val="22"/>
        </w:rPr>
        <w:t>emuneration of Commissioner Members</w:t>
      </w:r>
    </w:p>
    <w:p w:rsidR="009E07BA" w:rsidRPr="007A19EF" w:rsidRDefault="009E07BA" w:rsidP="009E07BA">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 xml:space="preserve">Commissioner Members not employed by the </w:t>
      </w:r>
      <w:r w:rsidRPr="007A19EF">
        <w:rPr>
          <w:rFonts w:ascii="Arial" w:hAnsi="Arial" w:cs="Arial"/>
          <w:i/>
          <w:sz w:val="22"/>
          <w:szCs w:val="22"/>
        </w:rPr>
        <w:t>State Service Act 2000</w:t>
      </w:r>
      <w:r w:rsidRPr="007A19EF">
        <w:rPr>
          <w:rFonts w:ascii="Arial" w:hAnsi="Arial" w:cs="Arial"/>
          <w:sz w:val="22"/>
          <w:szCs w:val="22"/>
        </w:rPr>
        <w:t xml:space="preserve"> are paid a sitting fee and are reimbursed for travel costs.</w:t>
      </w:r>
    </w:p>
    <w:p w:rsidR="009E07BA" w:rsidRPr="007A19EF" w:rsidRDefault="00733164" w:rsidP="00A85F83">
      <w:pPr>
        <w:keepNext/>
        <w:keepLines/>
        <w:tabs>
          <w:tab w:val="left" w:pos="567"/>
        </w:tabs>
        <w:spacing w:before="240" w:after="240"/>
        <w:jc w:val="both"/>
        <w:rPr>
          <w:rFonts w:ascii="Arial" w:hAnsi="Arial" w:cs="Arial"/>
          <w:b/>
          <w:sz w:val="22"/>
          <w:szCs w:val="22"/>
        </w:rPr>
      </w:pPr>
      <w:r>
        <w:rPr>
          <w:rFonts w:ascii="Arial" w:hAnsi="Arial" w:cs="Arial"/>
          <w:b/>
          <w:sz w:val="22"/>
          <w:szCs w:val="22"/>
        </w:rPr>
        <w:t>9.1</w:t>
      </w:r>
      <w:r w:rsidR="009D5D72">
        <w:rPr>
          <w:rFonts w:ascii="Arial" w:hAnsi="Arial" w:cs="Arial"/>
          <w:b/>
          <w:sz w:val="22"/>
          <w:szCs w:val="22"/>
        </w:rPr>
        <w:t>3</w:t>
      </w:r>
      <w:r>
        <w:rPr>
          <w:rFonts w:ascii="Arial" w:hAnsi="Arial" w:cs="Arial"/>
          <w:b/>
          <w:sz w:val="22"/>
          <w:szCs w:val="22"/>
        </w:rPr>
        <w:tab/>
        <w:t>R</w:t>
      </w:r>
      <w:r w:rsidR="009E07BA" w:rsidRPr="007A19EF">
        <w:rPr>
          <w:rFonts w:ascii="Arial" w:hAnsi="Arial" w:cs="Arial"/>
          <w:b/>
          <w:sz w:val="22"/>
          <w:szCs w:val="22"/>
        </w:rPr>
        <w:t>emuneration of Auditors</w:t>
      </w:r>
    </w:p>
    <w:p w:rsidR="009E07BA" w:rsidRPr="007A19EF" w:rsidRDefault="009E07BA" w:rsidP="008C6A5E">
      <w:pPr>
        <w:tabs>
          <w:tab w:val="left" w:pos="567"/>
        </w:tabs>
        <w:spacing w:after="240"/>
        <w:ind w:left="567" w:hanging="567"/>
        <w:jc w:val="both"/>
        <w:rPr>
          <w:rFonts w:ascii="Arial" w:hAnsi="Arial" w:cs="Arial"/>
          <w:sz w:val="22"/>
          <w:szCs w:val="22"/>
        </w:rPr>
      </w:pPr>
      <w:r w:rsidRPr="007A19EF">
        <w:rPr>
          <w:rFonts w:ascii="Arial" w:hAnsi="Arial" w:cs="Arial"/>
          <w:sz w:val="22"/>
          <w:szCs w:val="22"/>
        </w:rPr>
        <w:tab/>
        <w:t xml:space="preserve">The audit of the Commission is undertaken by the Tasmanian Audit Office on a fee for service basis. </w:t>
      </w:r>
    </w:p>
    <w:p w:rsidR="009E07BA" w:rsidRPr="007A19EF" w:rsidRDefault="009E07BA" w:rsidP="002F3CD1">
      <w:pPr>
        <w:pStyle w:val="Heading1"/>
        <w:tabs>
          <w:tab w:val="left" w:pos="567"/>
        </w:tabs>
        <w:spacing w:before="360" w:after="240"/>
        <w:rPr>
          <w:rFonts w:ascii="Arial" w:hAnsi="Arial" w:cs="Arial"/>
          <w:sz w:val="22"/>
          <w:szCs w:val="22"/>
        </w:rPr>
      </w:pPr>
      <w:bookmarkStart w:id="39" w:name="_Toc477750226"/>
      <w:bookmarkStart w:id="40" w:name="_Toc509828800"/>
      <w:bookmarkStart w:id="41" w:name="_Toc288225442"/>
      <w:r w:rsidRPr="007A19EF">
        <w:rPr>
          <w:rFonts w:ascii="Arial" w:hAnsi="Arial" w:cs="Arial"/>
          <w:sz w:val="22"/>
          <w:szCs w:val="22"/>
        </w:rPr>
        <w:t>10.</w:t>
      </w:r>
      <w:r w:rsidRPr="007A19EF">
        <w:rPr>
          <w:rFonts w:ascii="Arial" w:hAnsi="Arial" w:cs="Arial"/>
          <w:sz w:val="22"/>
          <w:szCs w:val="22"/>
        </w:rPr>
        <w:tab/>
        <w:t xml:space="preserve">DISTRIBUTION POLICY </w:t>
      </w:r>
      <w:smartTag w:uri="urn:schemas-microsoft-com:office:smarttags" w:element="stockticker">
        <w:r w:rsidRPr="007A19EF">
          <w:rPr>
            <w:rFonts w:ascii="Arial" w:hAnsi="Arial" w:cs="Arial"/>
            <w:sz w:val="22"/>
            <w:szCs w:val="22"/>
          </w:rPr>
          <w:t>AND</w:t>
        </w:r>
      </w:smartTag>
      <w:r w:rsidRPr="007A19EF">
        <w:rPr>
          <w:rFonts w:ascii="Arial" w:hAnsi="Arial" w:cs="Arial"/>
          <w:sz w:val="22"/>
          <w:szCs w:val="22"/>
        </w:rPr>
        <w:t xml:space="preserve"> TARGETS</w:t>
      </w:r>
      <w:bookmarkEnd w:id="39"/>
      <w:bookmarkEnd w:id="40"/>
      <w:bookmarkEnd w:id="41"/>
    </w:p>
    <w:p w:rsidR="009E07BA" w:rsidRPr="007A19EF" w:rsidRDefault="009E07BA" w:rsidP="008C6A5E">
      <w:pPr>
        <w:pStyle w:val="BodyTextIndent3"/>
        <w:tabs>
          <w:tab w:val="clear" w:pos="709"/>
          <w:tab w:val="left" w:pos="567"/>
        </w:tabs>
        <w:spacing w:after="240"/>
        <w:ind w:left="567" w:hanging="567"/>
        <w:rPr>
          <w:rFonts w:ascii="Arial" w:hAnsi="Arial" w:cs="Arial"/>
          <w:sz w:val="22"/>
          <w:szCs w:val="22"/>
        </w:rPr>
      </w:pPr>
      <w:r w:rsidRPr="007A19EF">
        <w:rPr>
          <w:rFonts w:ascii="Arial" w:hAnsi="Arial" w:cs="Arial"/>
          <w:sz w:val="22"/>
          <w:szCs w:val="22"/>
        </w:rPr>
        <w:tab/>
        <w:t>The Commission retains any surpluses and uses these funds to assist with its capital development program. The Commission is not required to distribute any surpluses to government.</w:t>
      </w:r>
    </w:p>
    <w:p w:rsidR="009E07BA" w:rsidRPr="007A19EF" w:rsidRDefault="009E07BA" w:rsidP="002F3CD1">
      <w:pPr>
        <w:pStyle w:val="Heading1"/>
        <w:tabs>
          <w:tab w:val="left" w:pos="567"/>
        </w:tabs>
        <w:spacing w:before="360" w:after="240"/>
        <w:rPr>
          <w:rFonts w:ascii="Arial" w:hAnsi="Arial" w:cs="Arial"/>
          <w:sz w:val="22"/>
          <w:szCs w:val="22"/>
        </w:rPr>
      </w:pPr>
      <w:bookmarkStart w:id="42" w:name="_Toc477750227"/>
      <w:bookmarkStart w:id="43" w:name="_Toc509828801"/>
      <w:bookmarkStart w:id="44" w:name="_Toc288225443"/>
      <w:r w:rsidRPr="007A19EF">
        <w:rPr>
          <w:rFonts w:ascii="Arial" w:hAnsi="Arial" w:cs="Arial"/>
          <w:sz w:val="22"/>
          <w:szCs w:val="22"/>
        </w:rPr>
        <w:t>11.</w:t>
      </w:r>
      <w:r w:rsidRPr="007A19EF">
        <w:rPr>
          <w:rFonts w:ascii="Arial" w:hAnsi="Arial" w:cs="Arial"/>
          <w:sz w:val="22"/>
          <w:szCs w:val="22"/>
        </w:rPr>
        <w:tab/>
        <w:t xml:space="preserve">FINANCIAL </w:t>
      </w:r>
      <w:smartTag w:uri="urn:schemas-microsoft-com:office:smarttags" w:element="stockticker">
        <w:r w:rsidRPr="007A19EF">
          <w:rPr>
            <w:rFonts w:ascii="Arial" w:hAnsi="Arial" w:cs="Arial"/>
            <w:sz w:val="22"/>
            <w:szCs w:val="22"/>
          </w:rPr>
          <w:t>PLAN</w:t>
        </w:r>
      </w:smartTag>
      <w:bookmarkEnd w:id="42"/>
      <w:bookmarkEnd w:id="43"/>
      <w:bookmarkEnd w:id="44"/>
    </w:p>
    <w:p w:rsidR="009E07BA" w:rsidRPr="007A19EF" w:rsidRDefault="009E07BA" w:rsidP="009E07BA">
      <w:pPr>
        <w:pStyle w:val="BodyTextIndent"/>
        <w:tabs>
          <w:tab w:val="left" w:pos="567"/>
        </w:tabs>
        <w:spacing w:before="0" w:after="120"/>
        <w:ind w:left="567" w:hanging="567"/>
        <w:rPr>
          <w:rFonts w:ascii="Arial" w:hAnsi="Arial" w:cs="Arial"/>
          <w:sz w:val="22"/>
          <w:szCs w:val="22"/>
        </w:rPr>
      </w:pPr>
      <w:r w:rsidRPr="007A19EF">
        <w:rPr>
          <w:rFonts w:ascii="Arial" w:hAnsi="Arial" w:cs="Arial"/>
          <w:sz w:val="22"/>
          <w:szCs w:val="22"/>
        </w:rPr>
        <w:tab/>
        <w:t>The financial plan for the Commission includes a</w:t>
      </w:r>
      <w:r w:rsidR="006228D4" w:rsidRPr="007A19EF">
        <w:rPr>
          <w:rFonts w:ascii="Arial" w:hAnsi="Arial" w:cs="Arial"/>
          <w:sz w:val="22"/>
          <w:szCs w:val="22"/>
        </w:rPr>
        <w:t xml:space="preserve"> </w:t>
      </w:r>
      <w:r w:rsidR="00416A40">
        <w:rPr>
          <w:rFonts w:ascii="Arial" w:hAnsi="Arial" w:cs="Arial"/>
          <w:sz w:val="22"/>
          <w:szCs w:val="22"/>
        </w:rPr>
        <w:t>3</w:t>
      </w:r>
      <w:r w:rsidR="00587439">
        <w:rPr>
          <w:rFonts w:ascii="Arial" w:hAnsi="Arial" w:cs="Arial"/>
          <w:sz w:val="22"/>
          <w:szCs w:val="22"/>
        </w:rPr>
        <w:t>.0</w:t>
      </w:r>
      <w:r w:rsidR="004F6A39">
        <w:rPr>
          <w:rFonts w:ascii="Arial" w:hAnsi="Arial" w:cs="Arial"/>
          <w:sz w:val="22"/>
          <w:szCs w:val="22"/>
        </w:rPr>
        <w:t xml:space="preserve"> </w:t>
      </w:r>
      <w:r w:rsidR="005A52A8" w:rsidRPr="007A19EF">
        <w:rPr>
          <w:rFonts w:ascii="Arial" w:hAnsi="Arial" w:cs="Arial"/>
          <w:sz w:val="22"/>
          <w:szCs w:val="22"/>
        </w:rPr>
        <w:t xml:space="preserve">per cent increase for the Fire Service Contribution for </w:t>
      </w:r>
      <w:r w:rsidR="00715677">
        <w:rPr>
          <w:rFonts w:ascii="Arial" w:hAnsi="Arial" w:cs="Arial"/>
          <w:sz w:val="22"/>
          <w:szCs w:val="22"/>
        </w:rPr>
        <w:t>2011-12</w:t>
      </w:r>
      <w:r w:rsidR="001362E1" w:rsidRPr="007A19EF">
        <w:rPr>
          <w:rFonts w:ascii="Arial" w:hAnsi="Arial" w:cs="Arial"/>
          <w:sz w:val="22"/>
          <w:szCs w:val="22"/>
        </w:rPr>
        <w:t xml:space="preserve"> </w:t>
      </w:r>
      <w:r w:rsidR="005A52A8" w:rsidRPr="007A19EF">
        <w:rPr>
          <w:rFonts w:ascii="Arial" w:hAnsi="Arial" w:cs="Arial"/>
          <w:sz w:val="22"/>
          <w:szCs w:val="22"/>
        </w:rPr>
        <w:t xml:space="preserve">with </w:t>
      </w:r>
      <w:r w:rsidR="00C17F66">
        <w:rPr>
          <w:rFonts w:ascii="Arial" w:hAnsi="Arial" w:cs="Arial"/>
          <w:sz w:val="22"/>
          <w:szCs w:val="22"/>
        </w:rPr>
        <w:t>the same proposed</w:t>
      </w:r>
      <w:r w:rsidRPr="007A19EF">
        <w:rPr>
          <w:rFonts w:ascii="Arial" w:hAnsi="Arial" w:cs="Arial"/>
          <w:sz w:val="22"/>
          <w:szCs w:val="22"/>
        </w:rPr>
        <w:t xml:space="preserve"> increase </w:t>
      </w:r>
      <w:r w:rsidR="005A52A8" w:rsidRPr="007A19EF">
        <w:rPr>
          <w:rFonts w:ascii="Arial" w:hAnsi="Arial" w:cs="Arial"/>
          <w:sz w:val="22"/>
          <w:szCs w:val="22"/>
        </w:rPr>
        <w:t>for the following</w:t>
      </w:r>
      <w:r w:rsidR="005A52A8" w:rsidRPr="008047D6">
        <w:rPr>
          <w:rFonts w:ascii="Arial" w:hAnsi="Arial" w:cs="Arial"/>
          <w:sz w:val="22"/>
          <w:szCs w:val="22"/>
        </w:rPr>
        <w:t xml:space="preserve"> </w:t>
      </w:r>
      <w:r w:rsidR="00835084">
        <w:rPr>
          <w:rFonts w:ascii="Arial" w:hAnsi="Arial" w:cs="Arial"/>
          <w:sz w:val="22"/>
          <w:szCs w:val="22"/>
        </w:rPr>
        <w:t xml:space="preserve">two </w:t>
      </w:r>
      <w:r w:rsidR="000F5255">
        <w:rPr>
          <w:rFonts w:ascii="Arial" w:hAnsi="Arial" w:cs="Arial"/>
          <w:sz w:val="22"/>
          <w:szCs w:val="22"/>
        </w:rPr>
        <w:t>financial</w:t>
      </w:r>
      <w:r w:rsidR="000F5255" w:rsidRPr="008047D6">
        <w:rPr>
          <w:rFonts w:ascii="Arial" w:hAnsi="Arial" w:cs="Arial"/>
          <w:sz w:val="22"/>
          <w:szCs w:val="22"/>
        </w:rPr>
        <w:t xml:space="preserve"> </w:t>
      </w:r>
      <w:r w:rsidR="005A52A8" w:rsidRPr="008047D6">
        <w:rPr>
          <w:rFonts w:ascii="Arial" w:hAnsi="Arial" w:cs="Arial"/>
          <w:sz w:val="22"/>
          <w:szCs w:val="22"/>
        </w:rPr>
        <w:t>year</w:t>
      </w:r>
      <w:r w:rsidR="00835084">
        <w:rPr>
          <w:rFonts w:ascii="Arial" w:hAnsi="Arial" w:cs="Arial"/>
          <w:sz w:val="22"/>
          <w:szCs w:val="22"/>
        </w:rPr>
        <w:t>s</w:t>
      </w:r>
      <w:r w:rsidR="005A52A8" w:rsidRPr="008047D6">
        <w:rPr>
          <w:rFonts w:ascii="Arial" w:hAnsi="Arial" w:cs="Arial"/>
          <w:sz w:val="22"/>
          <w:szCs w:val="22"/>
        </w:rPr>
        <w:t>.</w:t>
      </w:r>
      <w:r w:rsidR="0000190F">
        <w:rPr>
          <w:rFonts w:ascii="Arial" w:hAnsi="Arial" w:cs="Arial"/>
          <w:sz w:val="22"/>
          <w:szCs w:val="22"/>
        </w:rPr>
        <w:t xml:space="preserve"> </w:t>
      </w:r>
    </w:p>
    <w:p w:rsidR="009E07BA" w:rsidRPr="0000190F" w:rsidRDefault="009E07BA" w:rsidP="008C6A5E">
      <w:pPr>
        <w:pStyle w:val="BodyTextIndent2"/>
        <w:tabs>
          <w:tab w:val="left" w:pos="567"/>
        </w:tabs>
        <w:spacing w:after="240"/>
        <w:ind w:left="567" w:hanging="567"/>
        <w:jc w:val="both"/>
        <w:rPr>
          <w:rFonts w:ascii="Arial" w:hAnsi="Arial" w:cs="Arial"/>
          <w:i/>
          <w:sz w:val="22"/>
          <w:szCs w:val="22"/>
        </w:rPr>
      </w:pPr>
      <w:r w:rsidRPr="0000190F">
        <w:rPr>
          <w:rFonts w:ascii="Arial" w:hAnsi="Arial" w:cs="Arial"/>
          <w:i/>
          <w:sz w:val="22"/>
          <w:szCs w:val="22"/>
        </w:rPr>
        <w:tab/>
      </w:r>
      <w:r w:rsidRPr="00D7614D">
        <w:rPr>
          <w:rFonts w:ascii="Arial" w:hAnsi="Arial" w:cs="Arial"/>
          <w:i/>
          <w:sz w:val="22"/>
          <w:szCs w:val="22"/>
        </w:rPr>
        <w:t xml:space="preserve">The </w:t>
      </w:r>
      <w:r w:rsidR="000F5255">
        <w:rPr>
          <w:rFonts w:ascii="Arial" w:hAnsi="Arial" w:cs="Arial"/>
          <w:i/>
          <w:sz w:val="22"/>
          <w:szCs w:val="22"/>
        </w:rPr>
        <w:t>Income</w:t>
      </w:r>
      <w:r w:rsidRPr="00D7614D">
        <w:rPr>
          <w:rFonts w:ascii="Arial" w:hAnsi="Arial" w:cs="Arial"/>
          <w:i/>
          <w:sz w:val="22"/>
          <w:szCs w:val="22"/>
        </w:rPr>
        <w:t xml:space="preserve"> Statement, </w:t>
      </w:r>
      <w:r w:rsidR="000F5255">
        <w:rPr>
          <w:rFonts w:ascii="Arial" w:hAnsi="Arial" w:cs="Arial"/>
          <w:i/>
          <w:sz w:val="22"/>
          <w:szCs w:val="22"/>
        </w:rPr>
        <w:t>Balance Sheet</w:t>
      </w:r>
      <w:r w:rsidRPr="00D7614D">
        <w:rPr>
          <w:rFonts w:ascii="Arial" w:hAnsi="Arial" w:cs="Arial"/>
          <w:i/>
          <w:sz w:val="22"/>
          <w:szCs w:val="22"/>
        </w:rPr>
        <w:t xml:space="preserve"> and Cash Flow Statements are detailed at Annex A, B and C respectively.</w:t>
      </w:r>
    </w:p>
    <w:p w:rsidR="009E07BA" w:rsidRPr="007A19EF" w:rsidRDefault="009E07BA" w:rsidP="002F3CD1">
      <w:pPr>
        <w:pStyle w:val="Heading1"/>
        <w:keepNext w:val="0"/>
        <w:tabs>
          <w:tab w:val="left" w:pos="567"/>
        </w:tabs>
        <w:spacing w:before="360" w:after="240"/>
        <w:rPr>
          <w:rFonts w:ascii="Arial" w:hAnsi="Arial" w:cs="Arial"/>
          <w:sz w:val="22"/>
          <w:szCs w:val="22"/>
        </w:rPr>
      </w:pPr>
      <w:bookmarkStart w:id="45" w:name="_Toc477750228"/>
      <w:bookmarkStart w:id="46" w:name="_Toc509828802"/>
      <w:bookmarkStart w:id="47" w:name="_Toc288225444"/>
      <w:r w:rsidRPr="007A19EF">
        <w:rPr>
          <w:rFonts w:ascii="Arial" w:hAnsi="Arial" w:cs="Arial"/>
          <w:sz w:val="22"/>
          <w:szCs w:val="22"/>
        </w:rPr>
        <w:t>12.</w:t>
      </w:r>
      <w:r w:rsidRPr="007A19EF">
        <w:rPr>
          <w:rFonts w:ascii="Arial" w:hAnsi="Arial" w:cs="Arial"/>
          <w:sz w:val="22"/>
          <w:szCs w:val="22"/>
        </w:rPr>
        <w:tab/>
        <w:t xml:space="preserve">CAPITAL EXPENDITURE </w:t>
      </w:r>
      <w:smartTag w:uri="urn:schemas-microsoft-com:office:smarttags" w:element="stockticker">
        <w:r w:rsidRPr="007A19EF">
          <w:rPr>
            <w:rFonts w:ascii="Arial" w:hAnsi="Arial" w:cs="Arial"/>
            <w:sz w:val="22"/>
            <w:szCs w:val="22"/>
          </w:rPr>
          <w:t>PLAN</w:t>
        </w:r>
      </w:smartTag>
      <w:bookmarkEnd w:id="45"/>
      <w:bookmarkEnd w:id="46"/>
      <w:bookmarkEnd w:id="47"/>
    </w:p>
    <w:p w:rsidR="00D7614D" w:rsidRPr="00D7614D" w:rsidRDefault="00D7614D" w:rsidP="002F3CD1">
      <w:pPr>
        <w:pStyle w:val="BodyText"/>
        <w:keepNext w:val="0"/>
        <w:keepLines w:val="0"/>
        <w:tabs>
          <w:tab w:val="left" w:pos="567"/>
        </w:tabs>
        <w:spacing w:after="120"/>
        <w:ind w:left="567" w:hanging="28"/>
        <w:rPr>
          <w:rFonts w:ascii="Arial" w:hAnsi="Arial" w:cs="Arial"/>
          <w:b/>
          <w:sz w:val="22"/>
          <w:szCs w:val="22"/>
        </w:rPr>
      </w:pPr>
      <w:r w:rsidRPr="00D7614D">
        <w:rPr>
          <w:rFonts w:ascii="Arial" w:hAnsi="Arial" w:cs="Arial"/>
          <w:b/>
          <w:sz w:val="22"/>
          <w:szCs w:val="22"/>
        </w:rPr>
        <w:t>General</w:t>
      </w:r>
    </w:p>
    <w:p w:rsidR="00171ADD" w:rsidRPr="008047D6" w:rsidRDefault="00D7614D" w:rsidP="00D7614D">
      <w:pPr>
        <w:pStyle w:val="BodyText"/>
        <w:keepNext w:val="0"/>
        <w:keepLines w:val="0"/>
        <w:tabs>
          <w:tab w:val="left" w:pos="567"/>
        </w:tabs>
        <w:spacing w:after="120"/>
        <w:ind w:left="567" w:hanging="567"/>
        <w:rPr>
          <w:rFonts w:ascii="Arial" w:hAnsi="Arial" w:cs="Arial"/>
          <w:sz w:val="22"/>
          <w:szCs w:val="22"/>
        </w:rPr>
      </w:pPr>
      <w:r>
        <w:rPr>
          <w:rFonts w:ascii="Arial" w:hAnsi="Arial" w:cs="Arial"/>
          <w:sz w:val="22"/>
          <w:szCs w:val="22"/>
        </w:rPr>
        <w:tab/>
      </w:r>
      <w:r w:rsidR="00BF48C4" w:rsidRPr="0044333A">
        <w:rPr>
          <w:rFonts w:ascii="Arial" w:hAnsi="Arial" w:cs="Arial"/>
          <w:sz w:val="22"/>
          <w:szCs w:val="22"/>
        </w:rPr>
        <w:t xml:space="preserve">Each year the Commission allocates its capital budget on a priority basis. With some </w:t>
      </w:r>
      <w:r w:rsidR="000F5255" w:rsidRPr="0044333A">
        <w:rPr>
          <w:rFonts w:ascii="Arial" w:hAnsi="Arial" w:cs="Arial"/>
          <w:sz w:val="22"/>
          <w:szCs w:val="22"/>
        </w:rPr>
        <w:t xml:space="preserve">233 </w:t>
      </w:r>
      <w:r w:rsidR="00BF48C4" w:rsidRPr="0044333A">
        <w:rPr>
          <w:rFonts w:ascii="Arial" w:hAnsi="Arial" w:cs="Arial"/>
          <w:sz w:val="22"/>
          <w:szCs w:val="22"/>
        </w:rPr>
        <w:t>brigades and 5,</w:t>
      </w:r>
      <w:r w:rsidR="00EE5369">
        <w:rPr>
          <w:rFonts w:ascii="Arial" w:hAnsi="Arial" w:cs="Arial"/>
          <w:sz w:val="22"/>
          <w:szCs w:val="22"/>
        </w:rPr>
        <w:t>208</w:t>
      </w:r>
      <w:r w:rsidR="00BF48C4" w:rsidRPr="0044333A">
        <w:rPr>
          <w:rFonts w:ascii="Arial" w:hAnsi="Arial" w:cs="Arial"/>
          <w:sz w:val="22"/>
          <w:szCs w:val="22"/>
        </w:rPr>
        <w:t xml:space="preserve"> personnel</w:t>
      </w:r>
      <w:r w:rsidR="00171ADD" w:rsidRPr="008047D6">
        <w:rPr>
          <w:rFonts w:ascii="Arial" w:hAnsi="Arial" w:cs="Arial"/>
          <w:sz w:val="22"/>
          <w:szCs w:val="22"/>
        </w:rPr>
        <w:t xml:space="preserve"> to cater for, a set of criteria has been developed to support consistent and rational decisions relating to the siting and building of fire stations and the allocation of fire appliances and equipment. A five tier risk based brigade classification ranging from category one rural volunteer brigades to category five city brigades staffed by career firefighters has been developed. A brigade’s category assists in determining its fire station type and configuration and its allocation of fire appliances. The siting of fire stations is crucial and consideration is given to a number of factors including the risk profile of the brigade, response times, callout patterns, population distribution and demographics as well as its staffing status (career or volunteer). After taking these factors into consideration the Commission then prioritises and allocates funds accordingly.</w:t>
      </w:r>
    </w:p>
    <w:p w:rsidR="00171ADD" w:rsidRDefault="00171ADD" w:rsidP="002F3CD1">
      <w:pPr>
        <w:pStyle w:val="BodyText"/>
        <w:keepNext w:val="0"/>
        <w:keepLines w:val="0"/>
        <w:tabs>
          <w:tab w:val="left" w:pos="567"/>
        </w:tabs>
        <w:spacing w:after="120"/>
        <w:ind w:left="567" w:hanging="567"/>
        <w:rPr>
          <w:rFonts w:ascii="Arial" w:hAnsi="Arial" w:cs="Arial"/>
          <w:sz w:val="22"/>
          <w:szCs w:val="22"/>
        </w:rPr>
      </w:pPr>
      <w:r w:rsidRPr="008047D6">
        <w:rPr>
          <w:rFonts w:ascii="Arial" w:hAnsi="Arial" w:cs="Arial"/>
          <w:sz w:val="22"/>
          <w:szCs w:val="22"/>
        </w:rPr>
        <w:tab/>
        <w:t>The provision of fire stations with appr</w:t>
      </w:r>
      <w:smartTag w:uri="urn:schemas-microsoft-com:office:smarttags" w:element="PersonName">
        <w:r w:rsidRPr="008047D6">
          <w:rPr>
            <w:rFonts w:ascii="Arial" w:hAnsi="Arial" w:cs="Arial"/>
            <w:sz w:val="22"/>
            <w:szCs w:val="22"/>
          </w:rPr>
          <w:t>opr</w:t>
        </w:r>
      </w:smartTag>
      <w:r w:rsidRPr="008047D6">
        <w:rPr>
          <w:rFonts w:ascii="Arial" w:hAnsi="Arial" w:cs="Arial"/>
          <w:sz w:val="22"/>
          <w:szCs w:val="22"/>
        </w:rPr>
        <w:t>iate facilities both for the brigade members and for garaging fire appliances has been a high priority for many years. This priority has nearly been satisfied although there is likely to always be a need to progressively upgrade or replace fire stations over time. This easing in requirement for building funds has enabled an increased proportion of capital expenditure to the replacement of fire appliances.</w:t>
      </w:r>
    </w:p>
    <w:p w:rsidR="00D7614D" w:rsidRPr="002A7EF3" w:rsidRDefault="006F4C5C" w:rsidP="00B05C4B">
      <w:pPr>
        <w:pStyle w:val="BodyText"/>
        <w:widowControl w:val="0"/>
        <w:tabs>
          <w:tab w:val="left" w:pos="567"/>
        </w:tabs>
        <w:spacing w:before="240" w:after="120"/>
        <w:ind w:left="567" w:hanging="28"/>
        <w:rPr>
          <w:rFonts w:ascii="Arial" w:hAnsi="Arial"/>
          <w:b/>
          <w:sz w:val="22"/>
          <w:szCs w:val="22"/>
        </w:rPr>
      </w:pPr>
      <w:r w:rsidRPr="002A7EF3">
        <w:rPr>
          <w:rFonts w:ascii="Arial" w:hAnsi="Arial"/>
          <w:b/>
          <w:sz w:val="22"/>
          <w:szCs w:val="22"/>
        </w:rPr>
        <w:t xml:space="preserve">Fire </w:t>
      </w:r>
      <w:r w:rsidR="00257DE6">
        <w:rPr>
          <w:rFonts w:ascii="Arial" w:hAnsi="Arial"/>
          <w:b/>
          <w:sz w:val="22"/>
          <w:szCs w:val="22"/>
        </w:rPr>
        <w:t>Fighting Truck</w:t>
      </w:r>
      <w:r w:rsidRPr="002A7EF3">
        <w:rPr>
          <w:rFonts w:ascii="Arial" w:hAnsi="Arial"/>
          <w:b/>
          <w:sz w:val="22"/>
          <w:szCs w:val="22"/>
        </w:rPr>
        <w:t xml:space="preserve"> Replacement Program</w:t>
      </w:r>
    </w:p>
    <w:p w:rsidR="001970D1" w:rsidRDefault="001970D1" w:rsidP="00B05C4B">
      <w:pPr>
        <w:pStyle w:val="BodyText"/>
        <w:widowControl w:val="0"/>
        <w:spacing w:after="120"/>
        <w:ind w:left="567" w:hanging="27"/>
        <w:rPr>
          <w:rFonts w:ascii="Arial" w:hAnsi="Arial" w:cs="Arial"/>
          <w:sz w:val="22"/>
          <w:szCs w:val="22"/>
        </w:rPr>
      </w:pPr>
      <w:r>
        <w:rPr>
          <w:rFonts w:ascii="Arial" w:hAnsi="Arial" w:cs="Arial"/>
          <w:sz w:val="22"/>
          <w:szCs w:val="22"/>
        </w:rPr>
        <w:t>The Commission is committed to providing its fire fighters with safe and operationally effective fire trucks, allocated on a ‘fitness for purpose’ basis. Through economies of scale it has been possible to scope, design and fabricate on average, 29 operational fit for purpose fire fighting trucks per annum.  Assisted by a higher volume of trucks per annum through mass production, the Commission has been able to develop a rolling and sustainable fire truck replacement program that will ultimately result in a decline in the maximum age of its trucks from in excess of 25 years, to below 20 years of age.</w:t>
      </w:r>
    </w:p>
    <w:p w:rsidR="001970D1" w:rsidRDefault="001970D1" w:rsidP="001970D1">
      <w:pPr>
        <w:pStyle w:val="BodyText"/>
        <w:keepNext w:val="0"/>
        <w:spacing w:after="120"/>
        <w:ind w:left="567" w:hanging="27"/>
        <w:rPr>
          <w:rFonts w:ascii="Arial" w:hAnsi="Arial" w:cs="Arial"/>
          <w:sz w:val="22"/>
          <w:szCs w:val="22"/>
        </w:rPr>
      </w:pPr>
      <w:r>
        <w:rPr>
          <w:rFonts w:ascii="Arial" w:hAnsi="Arial" w:cs="Arial"/>
          <w:sz w:val="22"/>
          <w:szCs w:val="22"/>
        </w:rPr>
        <w:t xml:space="preserve">With a backlog of work likely to take approximately two years to </w:t>
      </w:r>
      <w:r w:rsidRPr="00B05C4B">
        <w:rPr>
          <w:rFonts w:ascii="Arial" w:hAnsi="Arial" w:cs="Arial"/>
          <w:sz w:val="22"/>
          <w:szCs w:val="22"/>
        </w:rPr>
        <w:t>complete, no additional funding has been provided in 2011-12 or 2012-13 for fire truck fabrication and replacement</w:t>
      </w:r>
      <w:r>
        <w:rPr>
          <w:rFonts w:ascii="Arial" w:hAnsi="Arial" w:cs="Arial"/>
          <w:sz w:val="22"/>
          <w:szCs w:val="22"/>
        </w:rPr>
        <w:t xml:space="preserve">. An allocation of $0.615 million has been allocated for the purchase of a new pumper to be stationed in the North of the State. Funding of $0.15 million has been provided in 2012-13 to upgrade </w:t>
      </w:r>
      <w:r w:rsidRPr="00B05C4B">
        <w:rPr>
          <w:rFonts w:ascii="Arial" w:hAnsi="Arial" w:cs="Arial"/>
          <w:sz w:val="22"/>
          <w:szCs w:val="22"/>
        </w:rPr>
        <w:t xml:space="preserve">existing heavy </w:t>
      </w:r>
      <w:r>
        <w:rPr>
          <w:rFonts w:ascii="Arial" w:hAnsi="Arial" w:cs="Arial"/>
          <w:sz w:val="22"/>
          <w:szCs w:val="22"/>
        </w:rPr>
        <w:t>pumpers. Total funding for the next five years of $9.8 million, excluding capital funds to be carried forward, has been allocated to the Fire Fighting Truck Replacement Program.</w:t>
      </w:r>
    </w:p>
    <w:p w:rsidR="001970D1" w:rsidRDefault="001970D1" w:rsidP="001970D1">
      <w:pPr>
        <w:pStyle w:val="BodyText"/>
        <w:keepNext w:val="0"/>
        <w:spacing w:after="120"/>
        <w:ind w:left="567" w:hanging="27"/>
        <w:rPr>
          <w:rFonts w:ascii="Arial" w:hAnsi="Arial" w:cs="Arial"/>
          <w:sz w:val="22"/>
          <w:szCs w:val="22"/>
        </w:rPr>
      </w:pPr>
      <w:r>
        <w:rPr>
          <w:rFonts w:ascii="Arial" w:hAnsi="Arial" w:cs="Arial"/>
          <w:sz w:val="22"/>
          <w:szCs w:val="22"/>
        </w:rPr>
        <w:t xml:space="preserve">New trucks are allocated to brigades on a priority basis, matched to criteria including risks such as terrain, vegetation, topography and zoning. Older, still serviceable trucks that are replaced are upgraded and reallocated to brigades using the same rationale for allocation. The commissioning of one new fire truck has a flow on effect, with the potential to increase the resourcing and capability of several </w:t>
      </w:r>
      <w:proofErr w:type="gramStart"/>
      <w:r>
        <w:rPr>
          <w:rFonts w:ascii="Arial" w:hAnsi="Arial" w:cs="Arial"/>
          <w:sz w:val="22"/>
          <w:szCs w:val="22"/>
        </w:rPr>
        <w:t>brigades</w:t>
      </w:r>
      <w:proofErr w:type="gramEnd"/>
      <w:r>
        <w:rPr>
          <w:rFonts w:ascii="Arial" w:hAnsi="Arial" w:cs="Arial"/>
          <w:sz w:val="22"/>
          <w:szCs w:val="22"/>
        </w:rPr>
        <w:t xml:space="preserve"> state wide. This process ensures that brigades are provided with the most suitable fire trucks having regard to their need and the level and type of risk in their area. Funding has also been allocated to upgrade the fleet of front line heavy pumper appliances, stationed within the career brigade’s state-wide. Since the formulation of the heavy pumper appliance replacement plan in 2003, a total of six heavy pumpers have been purchased and commissioned at a cost of $3.36 million. </w:t>
      </w:r>
    </w:p>
    <w:p w:rsidR="005963C8" w:rsidRDefault="001970D1" w:rsidP="005963C8">
      <w:pPr>
        <w:pStyle w:val="BodyText"/>
        <w:keepNext w:val="0"/>
        <w:keepLines w:val="0"/>
        <w:tabs>
          <w:tab w:val="left" w:pos="567"/>
        </w:tabs>
        <w:spacing w:after="120"/>
        <w:ind w:left="567" w:hanging="27"/>
        <w:rPr>
          <w:rFonts w:ascii="Arial" w:hAnsi="Arial" w:cs="Arial"/>
          <w:sz w:val="22"/>
          <w:szCs w:val="22"/>
        </w:rPr>
      </w:pPr>
      <w:r w:rsidRPr="00B05C4B">
        <w:rPr>
          <w:rFonts w:ascii="Arial" w:hAnsi="Arial" w:cs="Arial"/>
          <w:sz w:val="22"/>
          <w:szCs w:val="22"/>
        </w:rPr>
        <w:t>Provision is also made for passenger vehicle replacements with replacements being determined by the passenger vehicle replacement policy and the Commission’s ability to provide funding.</w:t>
      </w:r>
    </w:p>
    <w:p w:rsidR="00F214B0" w:rsidRPr="005476F7" w:rsidRDefault="00F214B0" w:rsidP="00471D55">
      <w:pPr>
        <w:tabs>
          <w:tab w:val="left" w:pos="567"/>
        </w:tabs>
        <w:spacing w:before="240" w:after="120"/>
        <w:ind w:left="567"/>
        <w:jc w:val="both"/>
        <w:rPr>
          <w:rFonts w:ascii="Arial" w:hAnsi="Arial" w:cs="Arial"/>
          <w:b/>
          <w:sz w:val="22"/>
          <w:szCs w:val="22"/>
        </w:rPr>
      </w:pPr>
      <w:r w:rsidRPr="005476F7">
        <w:rPr>
          <w:rFonts w:ascii="Arial" w:hAnsi="Arial" w:cs="Arial"/>
          <w:b/>
          <w:sz w:val="22"/>
          <w:szCs w:val="22"/>
        </w:rPr>
        <w:t>Plant and Equipment Replacement Program</w:t>
      </w:r>
    </w:p>
    <w:p w:rsidR="00F214B0" w:rsidRPr="004B360B" w:rsidRDefault="00F214B0" w:rsidP="00F214B0">
      <w:pPr>
        <w:tabs>
          <w:tab w:val="left" w:pos="567"/>
        </w:tabs>
        <w:spacing w:after="120"/>
        <w:ind w:left="567"/>
        <w:jc w:val="both"/>
        <w:rPr>
          <w:color w:val="1F497D"/>
          <w:sz w:val="22"/>
          <w:szCs w:val="22"/>
        </w:rPr>
      </w:pPr>
      <w:r>
        <w:rPr>
          <w:rFonts w:ascii="Arial" w:hAnsi="Arial" w:cs="Arial"/>
          <w:sz w:val="22"/>
          <w:szCs w:val="22"/>
        </w:rPr>
        <w:t>Four major communications projects are planned for 2011-12, three of which will be ongoing through the next five years.  In 2012-13 the aging paging system infrastructure (paging transmitters and associated links) across the state will be replaced ensuring that critical systems maintain high availability and serviceability. The vehicle radio replacement program enabling the installation of automatic vehicle location hardware in all operational TFS vehicles will be completed. The base radio replacement project will continue, the second year of a five year program, this project replaces radio network equipment  across the state ensuring that critical systems maintain high availability and serviceability.</w:t>
      </w:r>
    </w:p>
    <w:p w:rsidR="00F214B0" w:rsidRPr="004B360B" w:rsidRDefault="00F214B0" w:rsidP="00F214B0">
      <w:pPr>
        <w:spacing w:after="120"/>
        <w:ind w:left="567"/>
        <w:jc w:val="both"/>
        <w:rPr>
          <w:rFonts w:ascii="Arial" w:hAnsi="Arial" w:cs="Arial"/>
          <w:sz w:val="22"/>
          <w:szCs w:val="22"/>
        </w:rPr>
      </w:pPr>
      <w:r w:rsidRPr="004B360B">
        <w:rPr>
          <w:rFonts w:ascii="Arial" w:hAnsi="Arial" w:cs="Arial"/>
          <w:sz w:val="22"/>
          <w:szCs w:val="22"/>
        </w:rPr>
        <w:t xml:space="preserve">The annual desktop and laptop replacement program is a significant proportion of </w:t>
      </w:r>
      <w:r>
        <w:rPr>
          <w:rFonts w:ascii="Arial" w:hAnsi="Arial" w:cs="Arial"/>
          <w:sz w:val="22"/>
          <w:szCs w:val="22"/>
        </w:rPr>
        <w:t>the information technology</w:t>
      </w:r>
      <w:r w:rsidRPr="004B360B">
        <w:rPr>
          <w:rFonts w:ascii="Arial" w:hAnsi="Arial" w:cs="Arial"/>
          <w:sz w:val="22"/>
          <w:szCs w:val="22"/>
        </w:rPr>
        <w:t xml:space="preserve"> budget. The life cycle of the desktops is being extended to </w:t>
      </w:r>
      <w:r>
        <w:rPr>
          <w:rFonts w:ascii="Arial" w:hAnsi="Arial" w:cs="Arial"/>
          <w:sz w:val="22"/>
          <w:szCs w:val="22"/>
        </w:rPr>
        <w:t xml:space="preserve">four </w:t>
      </w:r>
      <w:r w:rsidRPr="004B360B">
        <w:rPr>
          <w:rFonts w:ascii="Arial" w:hAnsi="Arial" w:cs="Arial"/>
          <w:sz w:val="22"/>
          <w:szCs w:val="22"/>
        </w:rPr>
        <w:t>years to reduce this expenditure. The major expenditure for desktops will occur in 2013-14 and 2014-15 whilst the annual expenditure for laptops is fairly constant over the next 5 years. The installation and replacement of the network infrastructure is an important project and will occ</w:t>
      </w:r>
      <w:r>
        <w:rPr>
          <w:rFonts w:ascii="Arial" w:hAnsi="Arial" w:cs="Arial"/>
          <w:sz w:val="22"/>
          <w:szCs w:val="22"/>
        </w:rPr>
        <w:t>ur progressively over the next five</w:t>
      </w:r>
      <w:r w:rsidRPr="004B360B">
        <w:rPr>
          <w:rFonts w:ascii="Arial" w:hAnsi="Arial" w:cs="Arial"/>
          <w:sz w:val="22"/>
          <w:szCs w:val="22"/>
        </w:rPr>
        <w:t xml:space="preserve"> years. Changes to the network with a focus of improving business continuity will be undertaken over 2011-12 and 2012-13. Replacement of the local area network infrastructure at </w:t>
      </w:r>
      <w:r>
        <w:rPr>
          <w:rFonts w:ascii="Arial" w:hAnsi="Arial" w:cs="Arial"/>
          <w:sz w:val="22"/>
          <w:szCs w:val="22"/>
        </w:rPr>
        <w:t>State Headquarters in Hobart</w:t>
      </w:r>
      <w:r w:rsidRPr="004B360B">
        <w:rPr>
          <w:rFonts w:ascii="Arial" w:hAnsi="Arial" w:cs="Arial"/>
          <w:sz w:val="22"/>
          <w:szCs w:val="22"/>
        </w:rPr>
        <w:t xml:space="preserve"> is due to occur in 2013-14 and the remaining network infrastruct</w:t>
      </w:r>
      <w:r>
        <w:rPr>
          <w:rFonts w:ascii="Arial" w:hAnsi="Arial" w:cs="Arial"/>
          <w:sz w:val="22"/>
          <w:szCs w:val="22"/>
        </w:rPr>
        <w:t>ure will be upgraded in 2014-15.  Unix servers and load balances for the TFS website are planned to be replaced in 2015-16.</w:t>
      </w:r>
    </w:p>
    <w:p w:rsidR="00F214B0" w:rsidRDefault="00F214B0" w:rsidP="00F214B0">
      <w:pPr>
        <w:pStyle w:val="BodyText"/>
        <w:keepNext w:val="0"/>
        <w:keepLines w:val="0"/>
        <w:tabs>
          <w:tab w:val="left" w:pos="567"/>
        </w:tabs>
        <w:spacing w:before="240" w:after="120"/>
        <w:ind w:left="567" w:hanging="28"/>
        <w:rPr>
          <w:rFonts w:ascii="Arial" w:hAnsi="Arial" w:cs="Arial"/>
          <w:i/>
          <w:sz w:val="22"/>
          <w:szCs w:val="22"/>
        </w:rPr>
      </w:pPr>
      <w:r w:rsidRPr="00D7614D">
        <w:rPr>
          <w:rFonts w:ascii="Arial" w:hAnsi="Arial" w:cs="Arial"/>
          <w:i/>
          <w:sz w:val="22"/>
          <w:szCs w:val="22"/>
        </w:rPr>
        <w:t>The Capital Expenditure Plan is detailed at Annex D.</w:t>
      </w:r>
    </w:p>
    <w:p w:rsidR="00171ADD" w:rsidRPr="008047D6" w:rsidRDefault="00171ADD" w:rsidP="002F3CD1">
      <w:pPr>
        <w:pStyle w:val="Heading1"/>
        <w:tabs>
          <w:tab w:val="left" w:pos="567"/>
        </w:tabs>
        <w:spacing w:before="360" w:after="240"/>
        <w:rPr>
          <w:rFonts w:ascii="Arial" w:hAnsi="Arial" w:cs="Arial"/>
          <w:sz w:val="22"/>
          <w:szCs w:val="22"/>
        </w:rPr>
      </w:pPr>
      <w:bookmarkStart w:id="48" w:name="_Toc288225445"/>
      <w:r w:rsidRPr="008047D6">
        <w:rPr>
          <w:rFonts w:ascii="Arial" w:hAnsi="Arial" w:cs="Arial"/>
          <w:sz w:val="22"/>
          <w:szCs w:val="22"/>
        </w:rPr>
        <w:t>13.</w:t>
      </w:r>
      <w:r w:rsidRPr="008047D6">
        <w:rPr>
          <w:rFonts w:ascii="Arial" w:hAnsi="Arial" w:cs="Arial"/>
          <w:sz w:val="22"/>
          <w:szCs w:val="22"/>
        </w:rPr>
        <w:tab/>
        <w:t>DEBT REDUCTION STRATEGY</w:t>
      </w:r>
      <w:bookmarkEnd w:id="48"/>
    </w:p>
    <w:p w:rsidR="00171ADD" w:rsidRPr="008047D6" w:rsidRDefault="00171ADD" w:rsidP="008C6A5E">
      <w:pPr>
        <w:pStyle w:val="BodyText"/>
        <w:tabs>
          <w:tab w:val="left" w:pos="567"/>
        </w:tabs>
        <w:spacing w:after="240"/>
        <w:ind w:left="567" w:hanging="567"/>
        <w:rPr>
          <w:rFonts w:ascii="Arial" w:hAnsi="Arial" w:cs="Arial"/>
          <w:sz w:val="22"/>
          <w:szCs w:val="22"/>
        </w:rPr>
      </w:pPr>
      <w:r w:rsidRPr="008047D6">
        <w:rPr>
          <w:rFonts w:ascii="Arial" w:hAnsi="Arial" w:cs="Arial"/>
          <w:sz w:val="22"/>
          <w:szCs w:val="22"/>
        </w:rPr>
        <w:tab/>
        <w:t>Where opportunities arise the Commission is committed to reducing its debt of $4.7 million. In seeking to reduce its debt the Commission has been mindful not to compromise its fire appliance replacement program.</w:t>
      </w:r>
    </w:p>
    <w:p w:rsidR="009E07BA" w:rsidRPr="008047D6" w:rsidRDefault="009E07BA" w:rsidP="002F3CD1">
      <w:pPr>
        <w:pStyle w:val="Heading1"/>
        <w:tabs>
          <w:tab w:val="left" w:pos="567"/>
        </w:tabs>
        <w:spacing w:before="360" w:after="240"/>
        <w:rPr>
          <w:rFonts w:ascii="Arial" w:hAnsi="Arial" w:cs="Arial"/>
          <w:sz w:val="22"/>
          <w:szCs w:val="22"/>
        </w:rPr>
      </w:pPr>
      <w:bookmarkStart w:id="49" w:name="_Toc477750229"/>
      <w:bookmarkStart w:id="50" w:name="_Toc509828803"/>
      <w:bookmarkStart w:id="51" w:name="_Toc288225446"/>
      <w:r w:rsidRPr="008047D6">
        <w:rPr>
          <w:rFonts w:ascii="Arial" w:hAnsi="Arial" w:cs="Arial"/>
          <w:sz w:val="22"/>
          <w:szCs w:val="22"/>
        </w:rPr>
        <w:t>1</w:t>
      </w:r>
      <w:r w:rsidR="007C73EC" w:rsidRPr="008047D6">
        <w:rPr>
          <w:rFonts w:ascii="Arial" w:hAnsi="Arial" w:cs="Arial"/>
          <w:sz w:val="22"/>
          <w:szCs w:val="22"/>
        </w:rPr>
        <w:t>4</w:t>
      </w:r>
      <w:r w:rsidRPr="008047D6">
        <w:rPr>
          <w:rFonts w:ascii="Arial" w:hAnsi="Arial" w:cs="Arial"/>
          <w:sz w:val="22"/>
          <w:szCs w:val="22"/>
        </w:rPr>
        <w:t>.</w:t>
      </w:r>
      <w:r w:rsidRPr="008047D6">
        <w:rPr>
          <w:rFonts w:ascii="Arial" w:hAnsi="Arial" w:cs="Arial"/>
          <w:sz w:val="22"/>
          <w:szCs w:val="22"/>
        </w:rPr>
        <w:tab/>
      </w:r>
      <w:smartTag w:uri="urn:schemas-microsoft-com:office:smarttags" w:element="stockticker">
        <w:r w:rsidRPr="008047D6">
          <w:rPr>
            <w:rFonts w:ascii="Arial" w:hAnsi="Arial" w:cs="Arial"/>
            <w:sz w:val="22"/>
            <w:szCs w:val="22"/>
          </w:rPr>
          <w:t>KEY</w:t>
        </w:r>
      </w:smartTag>
      <w:r w:rsidRPr="008047D6">
        <w:rPr>
          <w:rFonts w:ascii="Arial" w:hAnsi="Arial" w:cs="Arial"/>
          <w:sz w:val="22"/>
          <w:szCs w:val="22"/>
        </w:rPr>
        <w:t xml:space="preserve"> PERFORMANCE TARGETS</w:t>
      </w:r>
      <w:bookmarkEnd w:id="49"/>
      <w:bookmarkEnd w:id="50"/>
      <w:bookmarkEnd w:id="51"/>
    </w:p>
    <w:p w:rsidR="009E07BA" w:rsidRPr="00D7614D" w:rsidRDefault="009E07BA" w:rsidP="008C6A5E">
      <w:pPr>
        <w:pStyle w:val="BodyTextIndent2"/>
        <w:tabs>
          <w:tab w:val="left" w:pos="567"/>
        </w:tabs>
        <w:spacing w:after="240"/>
        <w:ind w:left="0"/>
        <w:jc w:val="both"/>
        <w:rPr>
          <w:rFonts w:ascii="Arial" w:hAnsi="Arial" w:cs="Arial"/>
          <w:i/>
          <w:sz w:val="22"/>
          <w:szCs w:val="22"/>
        </w:rPr>
      </w:pPr>
      <w:r w:rsidRPr="00D7614D">
        <w:rPr>
          <w:rFonts w:ascii="Arial" w:hAnsi="Arial" w:cs="Arial"/>
          <w:i/>
          <w:sz w:val="22"/>
          <w:szCs w:val="22"/>
        </w:rPr>
        <w:tab/>
        <w:t>Key performance targets are detailed at Annex E.</w:t>
      </w:r>
    </w:p>
    <w:p w:rsidR="009E07BA" w:rsidRPr="008047D6" w:rsidRDefault="009E07BA" w:rsidP="002F3CD1">
      <w:pPr>
        <w:pStyle w:val="Heading1"/>
        <w:tabs>
          <w:tab w:val="left" w:pos="567"/>
        </w:tabs>
        <w:spacing w:before="360" w:after="240"/>
        <w:rPr>
          <w:rFonts w:ascii="Arial" w:hAnsi="Arial" w:cs="Arial"/>
          <w:sz w:val="22"/>
          <w:szCs w:val="22"/>
        </w:rPr>
      </w:pPr>
      <w:bookmarkStart w:id="52" w:name="_Toc477750230"/>
      <w:bookmarkStart w:id="53" w:name="_Toc509828804"/>
      <w:bookmarkStart w:id="54" w:name="_Toc288225447"/>
      <w:r w:rsidRPr="008047D6">
        <w:rPr>
          <w:rFonts w:ascii="Arial" w:hAnsi="Arial" w:cs="Arial"/>
          <w:sz w:val="22"/>
          <w:szCs w:val="22"/>
        </w:rPr>
        <w:t>1</w:t>
      </w:r>
      <w:r w:rsidR="007C73EC" w:rsidRPr="008047D6">
        <w:rPr>
          <w:rFonts w:ascii="Arial" w:hAnsi="Arial" w:cs="Arial"/>
          <w:sz w:val="22"/>
          <w:szCs w:val="22"/>
        </w:rPr>
        <w:t>5</w:t>
      </w:r>
      <w:r w:rsidRPr="008047D6">
        <w:rPr>
          <w:rFonts w:ascii="Arial" w:hAnsi="Arial" w:cs="Arial"/>
          <w:sz w:val="22"/>
          <w:szCs w:val="22"/>
        </w:rPr>
        <w:t>.</w:t>
      </w:r>
      <w:r w:rsidRPr="008047D6">
        <w:rPr>
          <w:rFonts w:ascii="Arial" w:hAnsi="Arial" w:cs="Arial"/>
          <w:sz w:val="22"/>
          <w:szCs w:val="22"/>
        </w:rPr>
        <w:tab/>
        <w:t xml:space="preserve">MARKETING </w:t>
      </w:r>
      <w:smartTag w:uri="urn:schemas-microsoft-com:office:smarttags" w:element="stockticker">
        <w:r w:rsidRPr="008047D6">
          <w:rPr>
            <w:rFonts w:ascii="Arial" w:hAnsi="Arial" w:cs="Arial"/>
            <w:sz w:val="22"/>
            <w:szCs w:val="22"/>
          </w:rPr>
          <w:t>PLAN</w:t>
        </w:r>
      </w:smartTag>
      <w:bookmarkEnd w:id="52"/>
      <w:bookmarkEnd w:id="53"/>
      <w:bookmarkEnd w:id="54"/>
    </w:p>
    <w:p w:rsidR="009E07BA" w:rsidRPr="008047D6" w:rsidRDefault="009E07BA" w:rsidP="008C6A5E">
      <w:pPr>
        <w:pStyle w:val="BodyTextIndent"/>
        <w:numPr>
          <w:ilvl w:val="0"/>
          <w:numId w:val="0"/>
        </w:numPr>
        <w:tabs>
          <w:tab w:val="left" w:pos="567"/>
        </w:tabs>
        <w:spacing w:before="0" w:after="240"/>
        <w:ind w:left="567" w:hanging="567"/>
        <w:rPr>
          <w:rFonts w:ascii="Arial" w:hAnsi="Arial" w:cs="Arial"/>
          <w:sz w:val="22"/>
          <w:szCs w:val="22"/>
        </w:rPr>
      </w:pPr>
      <w:r w:rsidRPr="008047D6">
        <w:rPr>
          <w:rFonts w:ascii="Arial" w:hAnsi="Arial" w:cs="Arial"/>
          <w:sz w:val="22"/>
          <w:szCs w:val="22"/>
        </w:rPr>
        <w:tab/>
        <w:t>To date a marketing plan has not been completed, however</w:t>
      </w:r>
      <w:r w:rsidR="000C2800">
        <w:rPr>
          <w:rFonts w:ascii="Arial" w:hAnsi="Arial" w:cs="Arial"/>
          <w:sz w:val="22"/>
          <w:szCs w:val="22"/>
        </w:rPr>
        <w:t>,</w:t>
      </w:r>
      <w:r w:rsidRPr="008047D6">
        <w:rPr>
          <w:rFonts w:ascii="Arial" w:hAnsi="Arial" w:cs="Arial"/>
          <w:sz w:val="22"/>
          <w:szCs w:val="22"/>
        </w:rPr>
        <w:t xml:space="preserve"> the </w:t>
      </w:r>
      <w:r w:rsidR="00726C33" w:rsidRPr="008047D6">
        <w:rPr>
          <w:rFonts w:ascii="Arial" w:hAnsi="Arial" w:cs="Arial"/>
          <w:sz w:val="22"/>
          <w:szCs w:val="22"/>
        </w:rPr>
        <w:t xml:space="preserve">Commission </w:t>
      </w:r>
      <w:r w:rsidR="0009484B" w:rsidRPr="008047D6">
        <w:rPr>
          <w:rFonts w:ascii="Arial" w:hAnsi="Arial" w:cs="Arial"/>
          <w:sz w:val="22"/>
          <w:szCs w:val="22"/>
        </w:rPr>
        <w:t xml:space="preserve">continues to undertake </w:t>
      </w:r>
      <w:r w:rsidRPr="008047D6">
        <w:rPr>
          <w:rFonts w:ascii="Arial" w:hAnsi="Arial" w:cs="Arial"/>
          <w:sz w:val="22"/>
          <w:szCs w:val="22"/>
        </w:rPr>
        <w:t>reviews aimed at identifying the fire safety needs and expectations of the community.</w:t>
      </w:r>
    </w:p>
    <w:p w:rsidR="009E07BA" w:rsidRPr="0000190F" w:rsidRDefault="009E07BA" w:rsidP="002F3CD1">
      <w:pPr>
        <w:pStyle w:val="Heading1"/>
        <w:tabs>
          <w:tab w:val="left" w:pos="567"/>
        </w:tabs>
        <w:spacing w:before="360" w:after="240"/>
        <w:rPr>
          <w:rFonts w:ascii="Arial" w:hAnsi="Arial" w:cs="Arial"/>
          <w:sz w:val="22"/>
          <w:szCs w:val="22"/>
        </w:rPr>
      </w:pPr>
      <w:bookmarkStart w:id="55" w:name="_Toc477750231"/>
      <w:bookmarkStart w:id="56" w:name="_Toc509828805"/>
      <w:bookmarkStart w:id="57" w:name="_Toc288225448"/>
      <w:r w:rsidRPr="0000190F">
        <w:rPr>
          <w:rFonts w:ascii="Arial" w:hAnsi="Arial" w:cs="Arial"/>
          <w:sz w:val="22"/>
          <w:szCs w:val="22"/>
        </w:rPr>
        <w:t>1</w:t>
      </w:r>
      <w:r w:rsidR="007C73EC" w:rsidRPr="0000190F">
        <w:rPr>
          <w:rFonts w:ascii="Arial" w:hAnsi="Arial" w:cs="Arial"/>
          <w:sz w:val="22"/>
          <w:szCs w:val="22"/>
        </w:rPr>
        <w:t>6</w:t>
      </w:r>
      <w:r w:rsidRPr="0000190F">
        <w:rPr>
          <w:rFonts w:ascii="Arial" w:hAnsi="Arial" w:cs="Arial"/>
          <w:sz w:val="22"/>
          <w:szCs w:val="22"/>
        </w:rPr>
        <w:t>.</w:t>
      </w:r>
      <w:r w:rsidRPr="0000190F">
        <w:rPr>
          <w:rFonts w:ascii="Arial" w:hAnsi="Arial" w:cs="Arial"/>
          <w:sz w:val="22"/>
          <w:szCs w:val="22"/>
        </w:rPr>
        <w:tab/>
        <w:t xml:space="preserve">HUMAN RESOURCE </w:t>
      </w:r>
      <w:smartTag w:uri="urn:schemas-microsoft-com:office:smarttags" w:element="stockticker">
        <w:r w:rsidRPr="0000190F">
          <w:rPr>
            <w:rFonts w:ascii="Arial" w:hAnsi="Arial" w:cs="Arial"/>
            <w:sz w:val="22"/>
            <w:szCs w:val="22"/>
          </w:rPr>
          <w:t>PLAN</w:t>
        </w:r>
      </w:smartTag>
      <w:bookmarkEnd w:id="55"/>
      <w:bookmarkEnd w:id="56"/>
      <w:bookmarkEnd w:id="57"/>
    </w:p>
    <w:p w:rsidR="00FC205F" w:rsidRPr="00CA13CA" w:rsidRDefault="009E07BA" w:rsidP="00FC205F">
      <w:pPr>
        <w:numPr>
          <w:ilvl w:val="12"/>
          <w:numId w:val="0"/>
        </w:numPr>
        <w:tabs>
          <w:tab w:val="left" w:pos="567"/>
        </w:tabs>
        <w:spacing w:after="120"/>
        <w:ind w:left="567" w:hanging="567"/>
        <w:jc w:val="both"/>
        <w:rPr>
          <w:rFonts w:ascii="Arial" w:hAnsi="Arial" w:cs="Arial"/>
          <w:sz w:val="22"/>
          <w:szCs w:val="22"/>
        </w:rPr>
      </w:pPr>
      <w:r w:rsidRPr="0000190F">
        <w:rPr>
          <w:rFonts w:ascii="Arial" w:hAnsi="Arial" w:cs="Arial"/>
          <w:sz w:val="22"/>
          <w:szCs w:val="22"/>
        </w:rPr>
        <w:tab/>
      </w:r>
      <w:r w:rsidR="00FC205F" w:rsidRPr="00CA13CA">
        <w:rPr>
          <w:rFonts w:ascii="Arial" w:hAnsi="Arial" w:cs="Arial"/>
          <w:sz w:val="22"/>
          <w:szCs w:val="22"/>
        </w:rPr>
        <w:t xml:space="preserve">The strategic Human Resource priorities for the Commission are outlined in Key Result Area </w:t>
      </w:r>
      <w:r w:rsidR="00FC205F" w:rsidRPr="00CA13CA">
        <w:rPr>
          <w:rFonts w:ascii="Arial" w:hAnsi="Arial" w:cs="Arial"/>
          <w:i/>
          <w:sz w:val="22"/>
          <w:szCs w:val="22"/>
        </w:rPr>
        <w:t>Our People</w:t>
      </w:r>
      <w:r w:rsidR="00FC205F" w:rsidRPr="00CA13CA">
        <w:rPr>
          <w:rFonts w:ascii="Arial" w:hAnsi="Arial" w:cs="Arial"/>
          <w:sz w:val="22"/>
          <w:szCs w:val="22"/>
        </w:rPr>
        <w:t>.</w:t>
      </w:r>
    </w:p>
    <w:p w:rsidR="00FC205F" w:rsidRPr="00CA13CA" w:rsidRDefault="00FC205F" w:rsidP="00FC205F">
      <w:pPr>
        <w:numPr>
          <w:ilvl w:val="12"/>
          <w:numId w:val="0"/>
        </w:numPr>
        <w:tabs>
          <w:tab w:val="left" w:pos="567"/>
        </w:tabs>
        <w:spacing w:after="120"/>
        <w:ind w:left="567" w:hanging="567"/>
        <w:jc w:val="both"/>
        <w:rPr>
          <w:rFonts w:ascii="Arial" w:hAnsi="Arial" w:cs="Arial"/>
          <w:sz w:val="22"/>
          <w:szCs w:val="22"/>
        </w:rPr>
      </w:pPr>
      <w:r w:rsidRPr="00CA13CA">
        <w:rPr>
          <w:rFonts w:ascii="Arial" w:hAnsi="Arial" w:cs="Arial"/>
          <w:sz w:val="22"/>
          <w:szCs w:val="22"/>
        </w:rPr>
        <w:tab/>
        <w:t xml:space="preserve">As an emergency service, the performance of the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is heavily reliant on the effective performance of its people. Effective performance requires the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to have the right people in the organisation, to have systems that enable them to perform effectively and to have a working environment that supports its people and enables safe and effective service delivery.</w:t>
      </w:r>
    </w:p>
    <w:p w:rsidR="00FC205F" w:rsidRPr="00CA13CA" w:rsidRDefault="00FC205F" w:rsidP="00FC205F">
      <w:pPr>
        <w:numPr>
          <w:ilvl w:val="12"/>
          <w:numId w:val="0"/>
        </w:numPr>
        <w:tabs>
          <w:tab w:val="left" w:pos="567"/>
        </w:tabs>
        <w:spacing w:after="120"/>
        <w:ind w:left="567" w:hanging="567"/>
        <w:jc w:val="both"/>
        <w:rPr>
          <w:rFonts w:ascii="Arial" w:hAnsi="Arial" w:cs="Arial"/>
          <w:sz w:val="22"/>
          <w:szCs w:val="22"/>
        </w:rPr>
      </w:pPr>
      <w:r w:rsidRPr="00CA13CA">
        <w:rPr>
          <w:rFonts w:ascii="Arial" w:hAnsi="Arial" w:cs="Arial"/>
          <w:sz w:val="22"/>
          <w:szCs w:val="22"/>
        </w:rPr>
        <w:tab/>
        <w:t xml:space="preserve">To this end, it is the Commission’s aim to support its people in a safe, fair and productive work environment. As a workplace within the Tasmanian State Service, the Commission will be continuing the process of ensuring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workplaces reflect the State Service Principles as contained within the </w:t>
      </w:r>
      <w:r w:rsidRPr="00CA13CA">
        <w:rPr>
          <w:rFonts w:ascii="Arial" w:hAnsi="Arial" w:cs="Arial"/>
          <w:i/>
          <w:sz w:val="22"/>
          <w:szCs w:val="22"/>
        </w:rPr>
        <w:t xml:space="preserve">State Service Act </w:t>
      </w:r>
      <w:r w:rsidRPr="00CA13CA">
        <w:rPr>
          <w:rFonts w:ascii="Arial" w:hAnsi="Arial" w:cs="Arial"/>
          <w:sz w:val="22"/>
          <w:szCs w:val="22"/>
        </w:rPr>
        <w:t xml:space="preserve">2000. The objectives outlined in this plan relating to our people are consistent with the objectives of the State Service People </w:t>
      </w:r>
      <w:r>
        <w:rPr>
          <w:rFonts w:ascii="Arial" w:hAnsi="Arial" w:cs="Arial"/>
          <w:sz w:val="22"/>
          <w:szCs w:val="22"/>
        </w:rPr>
        <w:t>Directions</w:t>
      </w:r>
      <w:r w:rsidRPr="00CA13CA">
        <w:rPr>
          <w:rFonts w:ascii="Arial" w:hAnsi="Arial" w:cs="Arial"/>
          <w:sz w:val="22"/>
          <w:szCs w:val="22"/>
        </w:rPr>
        <w:t xml:space="preserve"> Framework.</w:t>
      </w:r>
    </w:p>
    <w:p w:rsidR="00FC205F" w:rsidRPr="00CA13CA" w:rsidRDefault="00FC205F" w:rsidP="00FC205F">
      <w:pPr>
        <w:numPr>
          <w:ilvl w:val="12"/>
          <w:numId w:val="0"/>
        </w:numPr>
        <w:tabs>
          <w:tab w:val="left" w:pos="567"/>
        </w:tabs>
        <w:spacing w:after="120"/>
        <w:ind w:left="567" w:hanging="567"/>
        <w:jc w:val="both"/>
        <w:rPr>
          <w:rFonts w:ascii="Arial" w:hAnsi="Arial" w:cs="Arial"/>
          <w:sz w:val="22"/>
          <w:szCs w:val="22"/>
        </w:rPr>
      </w:pPr>
      <w:r w:rsidRPr="00CA13CA">
        <w:rPr>
          <w:rFonts w:ascii="Arial" w:hAnsi="Arial" w:cs="Arial"/>
          <w:sz w:val="22"/>
          <w:szCs w:val="22"/>
        </w:rPr>
        <w:tab/>
        <w:t xml:space="preserve">The achievement of this plan will require significant consultation with stakeholders, the development of key policies and systems, and ongoing cultural and behavioural change. </w:t>
      </w:r>
    </w:p>
    <w:p w:rsidR="00FC205F" w:rsidRPr="00CA13CA" w:rsidRDefault="00FC205F" w:rsidP="00FC205F">
      <w:pPr>
        <w:numPr>
          <w:ilvl w:val="12"/>
          <w:numId w:val="0"/>
        </w:numPr>
        <w:tabs>
          <w:tab w:val="left" w:pos="567"/>
        </w:tabs>
        <w:spacing w:after="120"/>
        <w:ind w:left="567" w:hanging="567"/>
        <w:jc w:val="both"/>
        <w:rPr>
          <w:rFonts w:ascii="Arial" w:hAnsi="Arial" w:cs="Arial"/>
          <w:sz w:val="22"/>
          <w:szCs w:val="22"/>
        </w:rPr>
      </w:pPr>
      <w:r w:rsidRPr="00CA13CA">
        <w:rPr>
          <w:rFonts w:ascii="Arial" w:hAnsi="Arial" w:cs="Arial"/>
          <w:sz w:val="22"/>
          <w:szCs w:val="22"/>
        </w:rPr>
        <w:tab/>
        <w:t>The major areas of focus are :</w:t>
      </w:r>
    </w:p>
    <w:p w:rsidR="00FC205F" w:rsidRPr="00CA13CA" w:rsidRDefault="00FC205F" w:rsidP="00FC205F">
      <w:pPr>
        <w:pStyle w:val="Heading4"/>
        <w:tabs>
          <w:tab w:val="left" w:pos="567"/>
        </w:tabs>
        <w:spacing w:before="240" w:after="120"/>
        <w:ind w:left="0"/>
        <w:rPr>
          <w:rFonts w:ascii="Arial" w:hAnsi="Arial" w:cs="Arial"/>
          <w:sz w:val="22"/>
          <w:szCs w:val="22"/>
        </w:rPr>
      </w:pPr>
      <w:r w:rsidRPr="00CA13CA">
        <w:rPr>
          <w:rFonts w:ascii="Arial" w:hAnsi="Arial" w:cs="Arial"/>
          <w:sz w:val="22"/>
          <w:szCs w:val="22"/>
        </w:rPr>
        <w:tab/>
        <w:t>Attracting and Retaining the Right People</w:t>
      </w:r>
    </w:p>
    <w:p w:rsidR="00FC205F" w:rsidRPr="00CA13CA" w:rsidRDefault="00FC205F" w:rsidP="00FC205F">
      <w:pPr>
        <w:pStyle w:val="BodyText"/>
        <w:keepNext w:val="0"/>
        <w:keepLines w:val="0"/>
        <w:tabs>
          <w:tab w:val="left" w:pos="567"/>
        </w:tabs>
        <w:spacing w:after="120"/>
        <w:ind w:left="567" w:hanging="567"/>
        <w:rPr>
          <w:rFonts w:ascii="Arial" w:hAnsi="Arial" w:cs="Arial"/>
          <w:sz w:val="22"/>
          <w:szCs w:val="22"/>
        </w:rPr>
      </w:pPr>
      <w:r w:rsidRPr="00CA13CA">
        <w:rPr>
          <w:rFonts w:ascii="Arial" w:hAnsi="Arial" w:cs="Arial"/>
          <w:sz w:val="22"/>
          <w:szCs w:val="22"/>
        </w:rPr>
        <w:tab/>
        <w:t xml:space="preserve">The Commission recognises a key factor in effective service delivery is attracting the right people to work in the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To achieve this aim, the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needs:</w:t>
      </w:r>
    </w:p>
    <w:p w:rsidR="00FC205F" w:rsidRPr="00CA13CA" w:rsidRDefault="00FC205F" w:rsidP="0083415A">
      <w:pPr>
        <w:pStyle w:val="BodyText"/>
        <w:keepNext w:val="0"/>
        <w:keepLines w:val="0"/>
        <w:numPr>
          <w:ilvl w:val="0"/>
          <w:numId w:val="11"/>
        </w:numPr>
        <w:tabs>
          <w:tab w:val="clear" w:pos="964"/>
          <w:tab w:val="left" w:pos="567"/>
          <w:tab w:val="num" w:pos="1080"/>
        </w:tabs>
        <w:spacing w:after="120"/>
        <w:ind w:left="1080" w:hanging="513"/>
        <w:rPr>
          <w:rFonts w:ascii="Arial" w:hAnsi="Arial" w:cs="Arial"/>
          <w:sz w:val="22"/>
          <w:szCs w:val="22"/>
        </w:rPr>
      </w:pPr>
      <w:r w:rsidRPr="00CA13CA">
        <w:rPr>
          <w:rFonts w:ascii="Arial" w:hAnsi="Arial" w:cs="Arial"/>
          <w:sz w:val="22"/>
          <w:szCs w:val="22"/>
        </w:rPr>
        <w:t>appr</w:t>
      </w:r>
      <w:smartTag w:uri="urn:schemas-microsoft-com:office:smarttags" w:element="PersonName">
        <w:r w:rsidRPr="00CA13CA">
          <w:rPr>
            <w:rFonts w:ascii="Arial" w:hAnsi="Arial" w:cs="Arial"/>
            <w:sz w:val="22"/>
            <w:szCs w:val="22"/>
          </w:rPr>
          <w:t>opr</w:t>
        </w:r>
      </w:smartTag>
      <w:r w:rsidRPr="00CA13CA">
        <w:rPr>
          <w:rFonts w:ascii="Arial" w:hAnsi="Arial" w:cs="Arial"/>
          <w:sz w:val="22"/>
          <w:szCs w:val="22"/>
        </w:rPr>
        <w:t xml:space="preserve">iate recruitment strategies and systems to enable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to appoint the right people; </w:t>
      </w:r>
    </w:p>
    <w:p w:rsidR="00FC205F" w:rsidRPr="00CA13CA" w:rsidRDefault="00FC205F" w:rsidP="0083415A">
      <w:pPr>
        <w:pStyle w:val="BodyText"/>
        <w:keepNext w:val="0"/>
        <w:keepLines w:val="0"/>
        <w:numPr>
          <w:ilvl w:val="0"/>
          <w:numId w:val="11"/>
        </w:numPr>
        <w:tabs>
          <w:tab w:val="clear" w:pos="964"/>
          <w:tab w:val="left" w:pos="567"/>
          <w:tab w:val="num" w:pos="1080"/>
        </w:tabs>
        <w:spacing w:after="120"/>
        <w:ind w:left="1080" w:hanging="513"/>
        <w:rPr>
          <w:rFonts w:ascii="Arial" w:hAnsi="Arial" w:cs="Arial"/>
          <w:sz w:val="22"/>
          <w:szCs w:val="22"/>
        </w:rPr>
      </w:pPr>
      <w:r w:rsidRPr="00CA13CA">
        <w:rPr>
          <w:rFonts w:ascii="Arial" w:hAnsi="Arial" w:cs="Arial"/>
          <w:sz w:val="22"/>
          <w:szCs w:val="22"/>
        </w:rPr>
        <w:t xml:space="preserve">sound career development strategies to provide future leaders, and assist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to retain its people; and </w:t>
      </w:r>
    </w:p>
    <w:p w:rsidR="00FC205F" w:rsidRPr="00CA13CA" w:rsidRDefault="00FC205F" w:rsidP="0083415A">
      <w:pPr>
        <w:pStyle w:val="BodyText"/>
        <w:keepNext w:val="0"/>
        <w:keepLines w:val="0"/>
        <w:numPr>
          <w:ilvl w:val="0"/>
          <w:numId w:val="11"/>
        </w:numPr>
        <w:tabs>
          <w:tab w:val="clear" w:pos="964"/>
          <w:tab w:val="left" w:pos="567"/>
          <w:tab w:val="num" w:pos="1080"/>
        </w:tabs>
        <w:spacing w:after="120"/>
        <w:ind w:left="1080" w:hanging="513"/>
        <w:rPr>
          <w:rFonts w:ascii="Arial" w:hAnsi="Arial" w:cs="Arial"/>
          <w:sz w:val="22"/>
          <w:szCs w:val="22"/>
        </w:rPr>
      </w:pPr>
      <w:r w:rsidRPr="00CA13CA">
        <w:rPr>
          <w:rFonts w:ascii="Arial" w:hAnsi="Arial" w:cs="Arial"/>
          <w:sz w:val="22"/>
          <w:szCs w:val="22"/>
        </w:rPr>
        <w:t xml:space="preserve">to attract people from as diverse a range of the community as possible so that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can continue to improve its workplace performance and behaviour, and use the diversity of the community that it serves. </w:t>
      </w:r>
    </w:p>
    <w:p w:rsidR="00C63261" w:rsidRPr="00CA13CA" w:rsidRDefault="00C63261" w:rsidP="00C63261">
      <w:pPr>
        <w:pStyle w:val="BodyText"/>
        <w:keepNext w:val="0"/>
        <w:keepLines w:val="0"/>
        <w:tabs>
          <w:tab w:val="left" w:pos="567"/>
        </w:tabs>
        <w:spacing w:after="120"/>
        <w:ind w:left="567"/>
        <w:rPr>
          <w:rFonts w:ascii="Arial" w:hAnsi="Arial" w:cs="Arial"/>
          <w:sz w:val="22"/>
          <w:szCs w:val="22"/>
        </w:rPr>
      </w:pPr>
      <w:r w:rsidRPr="00CA13CA">
        <w:rPr>
          <w:rFonts w:ascii="Arial" w:hAnsi="Arial" w:cs="Arial"/>
          <w:sz w:val="22"/>
          <w:szCs w:val="22"/>
        </w:rPr>
        <w:t>Key projects that will be undertaken during the life of this plan include:</w:t>
      </w:r>
    </w:p>
    <w:p w:rsidR="00C63261" w:rsidRPr="00CA13CA" w:rsidRDefault="00C63261" w:rsidP="00C63261">
      <w:pPr>
        <w:pStyle w:val="BodyText"/>
        <w:keepNext w:val="0"/>
        <w:keepLines w:val="0"/>
        <w:numPr>
          <w:ilvl w:val="0"/>
          <w:numId w:val="12"/>
        </w:numPr>
        <w:tabs>
          <w:tab w:val="clear" w:pos="964"/>
          <w:tab w:val="left" w:pos="567"/>
          <w:tab w:val="num" w:pos="1080"/>
        </w:tabs>
        <w:spacing w:after="120"/>
        <w:ind w:left="1080" w:hanging="513"/>
        <w:rPr>
          <w:rFonts w:ascii="Arial" w:hAnsi="Arial" w:cs="Arial"/>
          <w:sz w:val="22"/>
          <w:szCs w:val="22"/>
        </w:rPr>
      </w:pPr>
      <w:r w:rsidRPr="00CA13CA">
        <w:rPr>
          <w:rFonts w:ascii="Arial" w:hAnsi="Arial" w:cs="Arial"/>
          <w:sz w:val="22"/>
          <w:szCs w:val="22"/>
        </w:rPr>
        <w:t>reviewing the career member recruitment processes to support recruitment, selection and promotion.</w:t>
      </w:r>
    </w:p>
    <w:p w:rsidR="00FC205F" w:rsidRPr="0089394E" w:rsidRDefault="00FC205F" w:rsidP="00FC205F">
      <w:pPr>
        <w:pStyle w:val="Heading4"/>
        <w:tabs>
          <w:tab w:val="left" w:pos="567"/>
        </w:tabs>
        <w:spacing w:before="240" w:after="120"/>
        <w:ind w:left="0"/>
        <w:rPr>
          <w:rFonts w:ascii="Arial" w:hAnsi="Arial" w:cs="Arial"/>
          <w:sz w:val="22"/>
          <w:szCs w:val="22"/>
        </w:rPr>
      </w:pPr>
      <w:r w:rsidRPr="0089394E">
        <w:rPr>
          <w:rFonts w:ascii="Arial" w:hAnsi="Arial" w:cs="Arial"/>
          <w:sz w:val="22"/>
          <w:szCs w:val="22"/>
        </w:rPr>
        <w:tab/>
        <w:t>Shaping our Workforce and Performance</w:t>
      </w:r>
    </w:p>
    <w:p w:rsidR="00FC205F" w:rsidRPr="0089394E" w:rsidRDefault="00FC205F" w:rsidP="00FC205F">
      <w:pPr>
        <w:numPr>
          <w:ilvl w:val="12"/>
          <w:numId w:val="0"/>
        </w:numPr>
        <w:tabs>
          <w:tab w:val="left" w:pos="567"/>
        </w:tabs>
        <w:spacing w:after="120"/>
        <w:ind w:left="567" w:hanging="567"/>
        <w:jc w:val="both"/>
        <w:rPr>
          <w:rFonts w:ascii="Arial" w:hAnsi="Arial" w:cs="Arial"/>
          <w:sz w:val="22"/>
          <w:szCs w:val="22"/>
        </w:rPr>
      </w:pPr>
      <w:r w:rsidRPr="0089394E">
        <w:rPr>
          <w:rFonts w:ascii="Arial" w:hAnsi="Arial" w:cs="Arial"/>
          <w:sz w:val="22"/>
          <w:szCs w:val="22"/>
        </w:rPr>
        <w:tab/>
        <w:t xml:space="preserve">The Commission will continue to </w:t>
      </w:r>
      <w:r>
        <w:rPr>
          <w:rFonts w:ascii="Arial" w:hAnsi="Arial" w:cs="Arial"/>
          <w:sz w:val="22"/>
          <w:szCs w:val="22"/>
        </w:rPr>
        <w:t xml:space="preserve">plan for our future workforce needs and provide workplace systems that enable our </w:t>
      </w:r>
      <w:r w:rsidRPr="0089394E">
        <w:rPr>
          <w:rFonts w:ascii="Arial" w:hAnsi="Arial" w:cs="Arial"/>
          <w:sz w:val="22"/>
          <w:szCs w:val="22"/>
        </w:rPr>
        <w:t>people being productive. Key features of this workplace will be:</w:t>
      </w:r>
    </w:p>
    <w:p w:rsidR="00FC205F" w:rsidRDefault="00FC205F" w:rsidP="0083415A">
      <w:pPr>
        <w:numPr>
          <w:ilvl w:val="0"/>
          <w:numId w:val="13"/>
        </w:numPr>
        <w:tabs>
          <w:tab w:val="left" w:pos="567"/>
        </w:tabs>
        <w:spacing w:after="120"/>
        <w:jc w:val="both"/>
        <w:rPr>
          <w:rFonts w:ascii="Arial" w:hAnsi="Arial" w:cs="Arial"/>
          <w:sz w:val="22"/>
          <w:szCs w:val="22"/>
        </w:rPr>
      </w:pPr>
      <w:r>
        <w:rPr>
          <w:rFonts w:ascii="Arial" w:hAnsi="Arial" w:cs="Arial"/>
          <w:sz w:val="22"/>
          <w:szCs w:val="22"/>
        </w:rPr>
        <w:t>ensuring that our workforce planning models are aligned with our strategic needs given changing demographics and risk profiles;</w:t>
      </w:r>
    </w:p>
    <w:p w:rsidR="00FC205F" w:rsidRPr="0089394E" w:rsidRDefault="00FC205F" w:rsidP="0083415A">
      <w:pPr>
        <w:numPr>
          <w:ilvl w:val="0"/>
          <w:numId w:val="13"/>
        </w:numPr>
        <w:tabs>
          <w:tab w:val="left" w:pos="567"/>
        </w:tabs>
        <w:spacing w:after="120"/>
        <w:jc w:val="both"/>
        <w:rPr>
          <w:rFonts w:ascii="Arial" w:hAnsi="Arial" w:cs="Arial"/>
          <w:sz w:val="22"/>
          <w:szCs w:val="22"/>
        </w:rPr>
      </w:pPr>
      <w:r w:rsidRPr="0089394E">
        <w:rPr>
          <w:rFonts w:ascii="Arial" w:hAnsi="Arial" w:cs="Arial"/>
          <w:sz w:val="22"/>
          <w:szCs w:val="22"/>
        </w:rPr>
        <w:t>providing a safe working environment supported by safe systems of work and safe work behaviours;</w:t>
      </w:r>
    </w:p>
    <w:p w:rsidR="00FC205F" w:rsidRPr="0089394E" w:rsidRDefault="00FC205F" w:rsidP="0083415A">
      <w:pPr>
        <w:numPr>
          <w:ilvl w:val="0"/>
          <w:numId w:val="13"/>
        </w:numPr>
        <w:tabs>
          <w:tab w:val="left" w:pos="567"/>
        </w:tabs>
        <w:spacing w:after="120"/>
        <w:jc w:val="both"/>
        <w:rPr>
          <w:rFonts w:ascii="Arial" w:hAnsi="Arial" w:cs="Arial"/>
          <w:sz w:val="22"/>
          <w:szCs w:val="22"/>
        </w:rPr>
      </w:pPr>
      <w:r w:rsidRPr="0089394E">
        <w:rPr>
          <w:rFonts w:ascii="Arial" w:hAnsi="Arial" w:cs="Arial"/>
          <w:sz w:val="22"/>
          <w:szCs w:val="22"/>
        </w:rPr>
        <w:t>having training systems that provide members with the skills and knowledge required to effectively perform their work;</w:t>
      </w:r>
      <w:r>
        <w:rPr>
          <w:rFonts w:ascii="Arial" w:hAnsi="Arial" w:cs="Arial"/>
          <w:sz w:val="22"/>
          <w:szCs w:val="22"/>
        </w:rPr>
        <w:t xml:space="preserve"> </w:t>
      </w:r>
      <w:r w:rsidRPr="0089394E">
        <w:rPr>
          <w:rFonts w:ascii="Arial" w:hAnsi="Arial" w:cs="Arial"/>
          <w:sz w:val="22"/>
          <w:szCs w:val="22"/>
        </w:rPr>
        <w:t>and</w:t>
      </w:r>
    </w:p>
    <w:p w:rsidR="00FC205F" w:rsidRPr="0089394E" w:rsidRDefault="00FC205F" w:rsidP="0083415A">
      <w:pPr>
        <w:numPr>
          <w:ilvl w:val="0"/>
          <w:numId w:val="13"/>
        </w:numPr>
        <w:tabs>
          <w:tab w:val="left" w:pos="567"/>
        </w:tabs>
        <w:spacing w:after="120"/>
        <w:jc w:val="both"/>
        <w:rPr>
          <w:rFonts w:ascii="Arial" w:hAnsi="Arial" w:cs="Arial"/>
          <w:sz w:val="22"/>
          <w:szCs w:val="22"/>
        </w:rPr>
      </w:pPr>
      <w:r w:rsidRPr="0089394E">
        <w:rPr>
          <w:rFonts w:ascii="Arial" w:hAnsi="Arial" w:cs="Arial"/>
          <w:sz w:val="22"/>
          <w:szCs w:val="22"/>
        </w:rPr>
        <w:t>clear, concise and constructive feedback together with recognition for desired performance.</w:t>
      </w:r>
    </w:p>
    <w:p w:rsidR="00C63261" w:rsidRPr="003633AE" w:rsidRDefault="00C63261" w:rsidP="00C63261">
      <w:pPr>
        <w:pStyle w:val="BodyText"/>
        <w:keepNext w:val="0"/>
        <w:keepLines w:val="0"/>
        <w:tabs>
          <w:tab w:val="left" w:pos="567"/>
        </w:tabs>
        <w:spacing w:after="120"/>
        <w:ind w:left="567"/>
        <w:rPr>
          <w:rFonts w:ascii="Arial" w:hAnsi="Arial" w:cs="Arial"/>
          <w:sz w:val="22"/>
          <w:szCs w:val="22"/>
        </w:rPr>
      </w:pPr>
      <w:r w:rsidRPr="003633AE">
        <w:rPr>
          <w:rFonts w:ascii="Arial" w:hAnsi="Arial" w:cs="Arial"/>
          <w:sz w:val="22"/>
          <w:szCs w:val="22"/>
        </w:rPr>
        <w:t>Key projects that will be undertaken during the life of this plan include:</w:t>
      </w:r>
    </w:p>
    <w:p w:rsidR="00C63261" w:rsidRPr="004C39B6" w:rsidRDefault="00C63261" w:rsidP="00C63261">
      <w:pPr>
        <w:numPr>
          <w:ilvl w:val="0"/>
          <w:numId w:val="14"/>
        </w:numPr>
        <w:tabs>
          <w:tab w:val="left" w:pos="567"/>
        </w:tabs>
        <w:spacing w:after="120"/>
        <w:jc w:val="both"/>
        <w:rPr>
          <w:rFonts w:ascii="Arial" w:hAnsi="Arial" w:cs="Arial"/>
          <w:sz w:val="22"/>
          <w:szCs w:val="22"/>
        </w:rPr>
      </w:pPr>
      <w:r>
        <w:rPr>
          <w:rFonts w:ascii="Arial" w:hAnsi="Arial" w:cs="Arial"/>
          <w:sz w:val="22"/>
          <w:szCs w:val="22"/>
        </w:rPr>
        <w:t>e</w:t>
      </w:r>
      <w:r w:rsidRPr="00A10A27">
        <w:rPr>
          <w:rFonts w:ascii="Arial" w:hAnsi="Arial" w:cs="Arial"/>
          <w:sz w:val="22"/>
          <w:szCs w:val="22"/>
        </w:rPr>
        <w:t>nsur</w:t>
      </w:r>
      <w:r>
        <w:rPr>
          <w:rFonts w:ascii="Arial" w:hAnsi="Arial" w:cs="Arial"/>
          <w:sz w:val="22"/>
          <w:szCs w:val="22"/>
        </w:rPr>
        <w:t>ing</w:t>
      </w:r>
      <w:r w:rsidRPr="00A10A27">
        <w:rPr>
          <w:rFonts w:ascii="Arial" w:hAnsi="Arial" w:cs="Arial"/>
          <w:sz w:val="22"/>
          <w:szCs w:val="22"/>
        </w:rPr>
        <w:t xml:space="preserve"> that the systems, processes, skill development and support are provided to maintain the health, safety and wellbeing of all members </w:t>
      </w:r>
      <w:r>
        <w:rPr>
          <w:rFonts w:ascii="Arial" w:hAnsi="Arial" w:cs="Arial"/>
          <w:sz w:val="22"/>
          <w:szCs w:val="22"/>
        </w:rPr>
        <w:t xml:space="preserve">with a focus on </w:t>
      </w:r>
      <w:r w:rsidRPr="007A19EF">
        <w:rPr>
          <w:rFonts w:ascii="Arial" w:hAnsi="Arial" w:cs="Arial"/>
          <w:sz w:val="22"/>
          <w:szCs w:val="22"/>
        </w:rPr>
        <w:t xml:space="preserve">the </w:t>
      </w:r>
      <w:r>
        <w:rPr>
          <w:rFonts w:ascii="Arial" w:hAnsi="Arial" w:cs="Arial"/>
          <w:sz w:val="22"/>
          <w:szCs w:val="22"/>
        </w:rPr>
        <w:t>safe driving</w:t>
      </w:r>
      <w:r w:rsidRPr="007A19EF">
        <w:rPr>
          <w:rFonts w:ascii="Arial" w:hAnsi="Arial" w:cs="Arial"/>
          <w:sz w:val="22"/>
          <w:szCs w:val="22"/>
        </w:rPr>
        <w:t xml:space="preserve">, and </w:t>
      </w:r>
      <w:r>
        <w:rPr>
          <w:rFonts w:ascii="Arial" w:hAnsi="Arial" w:cs="Arial"/>
          <w:sz w:val="22"/>
          <w:szCs w:val="22"/>
        </w:rPr>
        <w:t xml:space="preserve">the development </w:t>
      </w:r>
      <w:r w:rsidRPr="007A19EF">
        <w:rPr>
          <w:rFonts w:ascii="Arial" w:hAnsi="Arial" w:cs="Arial"/>
          <w:sz w:val="22"/>
          <w:szCs w:val="22"/>
        </w:rPr>
        <w:t xml:space="preserve">of a </w:t>
      </w:r>
      <w:r>
        <w:rPr>
          <w:rFonts w:ascii="Arial" w:hAnsi="Arial" w:cs="Arial"/>
          <w:sz w:val="22"/>
          <w:szCs w:val="22"/>
        </w:rPr>
        <w:t>health and wellbeing p</w:t>
      </w:r>
      <w:r w:rsidRPr="007A19EF">
        <w:rPr>
          <w:rFonts w:ascii="Arial" w:hAnsi="Arial" w:cs="Arial"/>
          <w:sz w:val="22"/>
          <w:szCs w:val="22"/>
        </w:rPr>
        <w:t>rogram.</w:t>
      </w:r>
    </w:p>
    <w:p w:rsidR="00C63261" w:rsidRPr="00A45BD9" w:rsidRDefault="00C63261" w:rsidP="00C63261">
      <w:pPr>
        <w:numPr>
          <w:ilvl w:val="0"/>
          <w:numId w:val="14"/>
        </w:numPr>
        <w:tabs>
          <w:tab w:val="left" w:pos="567"/>
        </w:tabs>
        <w:spacing w:after="120"/>
        <w:jc w:val="both"/>
        <w:rPr>
          <w:rFonts w:ascii="Arial" w:hAnsi="Arial" w:cs="Arial"/>
          <w:sz w:val="22"/>
          <w:szCs w:val="22"/>
        </w:rPr>
      </w:pPr>
      <w:r>
        <w:rPr>
          <w:rFonts w:ascii="Arial" w:hAnsi="Arial" w:cs="Arial"/>
          <w:sz w:val="22"/>
          <w:szCs w:val="22"/>
        </w:rPr>
        <w:t>e</w:t>
      </w:r>
      <w:r w:rsidRPr="00A45BD9">
        <w:rPr>
          <w:rFonts w:ascii="Arial" w:hAnsi="Arial" w:cs="Arial"/>
          <w:sz w:val="22"/>
          <w:szCs w:val="22"/>
        </w:rPr>
        <w:t>nsur</w:t>
      </w:r>
      <w:r>
        <w:rPr>
          <w:rFonts w:ascii="Arial" w:hAnsi="Arial" w:cs="Arial"/>
          <w:sz w:val="22"/>
          <w:szCs w:val="22"/>
        </w:rPr>
        <w:t>ing</w:t>
      </w:r>
      <w:r w:rsidRPr="00A45BD9">
        <w:rPr>
          <w:rFonts w:ascii="Arial" w:hAnsi="Arial" w:cs="Arial"/>
          <w:sz w:val="22"/>
          <w:szCs w:val="22"/>
        </w:rPr>
        <w:t xml:space="preserve"> the knowledge and skills of brigades and members are aligned with their respective community risk</w:t>
      </w:r>
      <w:r>
        <w:rPr>
          <w:rFonts w:ascii="Arial" w:hAnsi="Arial" w:cs="Arial"/>
          <w:sz w:val="22"/>
          <w:szCs w:val="22"/>
        </w:rPr>
        <w:t>.</w:t>
      </w:r>
    </w:p>
    <w:p w:rsidR="00FC205F" w:rsidRPr="003633AE" w:rsidRDefault="00FC205F" w:rsidP="00FC205F">
      <w:pPr>
        <w:pStyle w:val="Heading4"/>
        <w:tabs>
          <w:tab w:val="left" w:pos="567"/>
        </w:tabs>
        <w:spacing w:before="240" w:after="120"/>
        <w:ind w:left="0"/>
        <w:rPr>
          <w:rFonts w:ascii="Arial" w:hAnsi="Arial" w:cs="Arial"/>
          <w:sz w:val="22"/>
          <w:szCs w:val="22"/>
        </w:rPr>
      </w:pPr>
      <w:r w:rsidRPr="003633AE">
        <w:rPr>
          <w:rFonts w:ascii="Arial" w:hAnsi="Arial" w:cs="Arial"/>
          <w:sz w:val="22"/>
          <w:szCs w:val="22"/>
        </w:rPr>
        <w:tab/>
        <w:t>Leading and Managing for the Future</w:t>
      </w:r>
    </w:p>
    <w:p w:rsidR="00FC205F" w:rsidRPr="003633AE" w:rsidRDefault="00FC205F" w:rsidP="00FC205F">
      <w:pPr>
        <w:numPr>
          <w:ilvl w:val="12"/>
          <w:numId w:val="0"/>
        </w:numPr>
        <w:tabs>
          <w:tab w:val="left" w:pos="567"/>
        </w:tabs>
        <w:spacing w:after="120"/>
        <w:ind w:left="567" w:hanging="567"/>
        <w:jc w:val="both"/>
        <w:rPr>
          <w:rFonts w:ascii="Arial" w:hAnsi="Arial" w:cs="Arial"/>
          <w:sz w:val="22"/>
          <w:szCs w:val="22"/>
        </w:rPr>
      </w:pPr>
      <w:r w:rsidRPr="003633AE">
        <w:rPr>
          <w:rFonts w:ascii="Arial" w:hAnsi="Arial" w:cs="Arial"/>
          <w:sz w:val="22"/>
          <w:szCs w:val="22"/>
        </w:rPr>
        <w:tab/>
        <w:t>The Commission needs to have people capable of leading and managing for the future challenges in a changing environment. This objective will be achieved by:</w:t>
      </w:r>
    </w:p>
    <w:p w:rsidR="00FC205F" w:rsidRPr="003633AE" w:rsidRDefault="00FC205F" w:rsidP="0083415A">
      <w:pPr>
        <w:numPr>
          <w:ilvl w:val="0"/>
          <w:numId w:val="14"/>
        </w:numPr>
        <w:tabs>
          <w:tab w:val="left" w:pos="567"/>
        </w:tabs>
        <w:spacing w:after="120"/>
        <w:jc w:val="both"/>
        <w:rPr>
          <w:rFonts w:ascii="Arial" w:hAnsi="Arial" w:cs="Arial"/>
          <w:sz w:val="22"/>
          <w:szCs w:val="22"/>
        </w:rPr>
      </w:pPr>
      <w:r w:rsidRPr="003633AE">
        <w:rPr>
          <w:rFonts w:ascii="Arial" w:hAnsi="Arial" w:cs="Arial"/>
          <w:sz w:val="22"/>
          <w:szCs w:val="22"/>
        </w:rPr>
        <w:t>having programs and systems that encourage and recognise effective leadership and management capabilities.</w:t>
      </w:r>
    </w:p>
    <w:p w:rsidR="00FC205F" w:rsidRPr="003633AE" w:rsidRDefault="00FC205F" w:rsidP="0083415A">
      <w:pPr>
        <w:numPr>
          <w:ilvl w:val="0"/>
          <w:numId w:val="14"/>
        </w:numPr>
        <w:tabs>
          <w:tab w:val="left" w:pos="567"/>
        </w:tabs>
        <w:spacing w:after="120"/>
        <w:ind w:left="970"/>
        <w:jc w:val="both"/>
        <w:rPr>
          <w:rFonts w:ascii="Arial" w:hAnsi="Arial" w:cs="Arial"/>
          <w:sz w:val="22"/>
          <w:szCs w:val="22"/>
        </w:rPr>
      </w:pPr>
      <w:r w:rsidRPr="003633AE">
        <w:rPr>
          <w:rFonts w:ascii="Arial" w:hAnsi="Arial" w:cs="Arial"/>
          <w:sz w:val="22"/>
          <w:szCs w:val="22"/>
        </w:rPr>
        <w:t xml:space="preserve">a strategic approach to learning and development that clearly integrates with the </w:t>
      </w:r>
      <w:smartTag w:uri="urn:schemas-microsoft-com:office:smarttags" w:element="PersonName">
        <w:r w:rsidRPr="003633AE">
          <w:rPr>
            <w:rFonts w:ascii="Arial" w:hAnsi="Arial" w:cs="Arial"/>
            <w:sz w:val="22"/>
            <w:szCs w:val="22"/>
          </w:rPr>
          <w:t xml:space="preserve">corporate </w:t>
        </w:r>
      </w:smartTag>
      <w:r w:rsidRPr="003633AE">
        <w:rPr>
          <w:rFonts w:ascii="Arial" w:hAnsi="Arial" w:cs="Arial"/>
          <w:sz w:val="22"/>
          <w:szCs w:val="22"/>
        </w:rPr>
        <w:t>plan and ensures learning is an integral part of the organisation’s operations; and</w:t>
      </w:r>
    </w:p>
    <w:p w:rsidR="00FC205F" w:rsidRPr="003633AE" w:rsidRDefault="00FC205F" w:rsidP="00FC205F">
      <w:pPr>
        <w:pStyle w:val="BodyText"/>
        <w:keepNext w:val="0"/>
        <w:keepLines w:val="0"/>
        <w:tabs>
          <w:tab w:val="left" w:pos="567"/>
        </w:tabs>
        <w:spacing w:after="120"/>
        <w:ind w:left="567"/>
        <w:rPr>
          <w:rFonts w:ascii="Arial" w:hAnsi="Arial" w:cs="Arial"/>
          <w:sz w:val="22"/>
          <w:szCs w:val="22"/>
        </w:rPr>
      </w:pPr>
      <w:r w:rsidRPr="003633AE">
        <w:rPr>
          <w:rFonts w:ascii="Arial" w:hAnsi="Arial" w:cs="Arial"/>
          <w:sz w:val="22"/>
          <w:szCs w:val="22"/>
        </w:rPr>
        <w:t>Key projects in this area that will be undertaken during the life of this plan include:</w:t>
      </w:r>
    </w:p>
    <w:p w:rsidR="00FC205F" w:rsidRPr="001D3A0B" w:rsidRDefault="00FC205F" w:rsidP="0083415A">
      <w:pPr>
        <w:numPr>
          <w:ilvl w:val="0"/>
          <w:numId w:val="14"/>
        </w:numPr>
        <w:tabs>
          <w:tab w:val="left" w:pos="567"/>
        </w:tabs>
        <w:spacing w:after="120"/>
        <w:jc w:val="both"/>
        <w:rPr>
          <w:rFonts w:ascii="Arial" w:hAnsi="Arial" w:cs="Arial"/>
          <w:sz w:val="22"/>
          <w:szCs w:val="22"/>
        </w:rPr>
      </w:pPr>
      <w:r>
        <w:rPr>
          <w:rFonts w:ascii="Arial" w:hAnsi="Arial" w:cs="Arial"/>
          <w:sz w:val="22"/>
          <w:szCs w:val="22"/>
        </w:rPr>
        <w:t>implementing</w:t>
      </w:r>
      <w:r w:rsidRPr="001D3A0B">
        <w:rPr>
          <w:rFonts w:ascii="Arial" w:hAnsi="Arial" w:cs="Arial"/>
          <w:sz w:val="22"/>
          <w:szCs w:val="22"/>
        </w:rPr>
        <w:t xml:space="preserve"> a leadership strategy for all members.</w:t>
      </w:r>
    </w:p>
    <w:p w:rsidR="00FC205F" w:rsidRPr="007A19EF" w:rsidRDefault="00FC205F" w:rsidP="0083415A">
      <w:pPr>
        <w:numPr>
          <w:ilvl w:val="0"/>
          <w:numId w:val="14"/>
        </w:numPr>
        <w:tabs>
          <w:tab w:val="left" w:pos="567"/>
        </w:tabs>
        <w:spacing w:after="120"/>
        <w:jc w:val="both"/>
        <w:rPr>
          <w:rFonts w:ascii="Arial" w:hAnsi="Arial" w:cs="Arial"/>
          <w:sz w:val="22"/>
          <w:szCs w:val="22"/>
        </w:rPr>
      </w:pPr>
      <w:r>
        <w:rPr>
          <w:rFonts w:ascii="Arial" w:hAnsi="Arial" w:cs="Arial"/>
          <w:sz w:val="22"/>
          <w:szCs w:val="22"/>
        </w:rPr>
        <w:t>developing and implementing</w:t>
      </w:r>
      <w:r w:rsidRPr="001D3A0B">
        <w:rPr>
          <w:rFonts w:ascii="Arial" w:hAnsi="Arial" w:cs="Arial"/>
          <w:sz w:val="22"/>
          <w:szCs w:val="22"/>
        </w:rPr>
        <w:t xml:space="preserve"> l</w:t>
      </w:r>
      <w:r>
        <w:rPr>
          <w:rFonts w:ascii="Arial" w:hAnsi="Arial" w:cs="Arial"/>
          <w:sz w:val="22"/>
          <w:szCs w:val="22"/>
        </w:rPr>
        <w:t>earning and development strategies including</w:t>
      </w:r>
      <w:r w:rsidRPr="007A19EF">
        <w:rPr>
          <w:rFonts w:ascii="Arial" w:hAnsi="Arial" w:cs="Arial"/>
          <w:sz w:val="22"/>
          <w:szCs w:val="22"/>
        </w:rPr>
        <w:t xml:space="preserve"> quality management system</w:t>
      </w:r>
      <w:r>
        <w:rPr>
          <w:rFonts w:ascii="Arial" w:hAnsi="Arial" w:cs="Arial"/>
          <w:sz w:val="22"/>
          <w:szCs w:val="22"/>
        </w:rPr>
        <w:t>s, improved supervisory qualifications, and the development of learning and assessment resources.</w:t>
      </w:r>
    </w:p>
    <w:p w:rsidR="00FC205F" w:rsidRDefault="00FC205F" w:rsidP="00FC205F">
      <w:pPr>
        <w:pStyle w:val="Heading4"/>
        <w:tabs>
          <w:tab w:val="left" w:pos="567"/>
        </w:tabs>
        <w:spacing w:before="240" w:after="120"/>
        <w:ind w:left="567"/>
        <w:rPr>
          <w:rFonts w:ascii="Arial" w:hAnsi="Arial" w:cs="Arial"/>
          <w:sz w:val="22"/>
          <w:szCs w:val="22"/>
        </w:rPr>
      </w:pPr>
      <w:r w:rsidRPr="004C39B6">
        <w:rPr>
          <w:rFonts w:ascii="Arial" w:hAnsi="Arial" w:cs="Arial"/>
          <w:sz w:val="22"/>
          <w:szCs w:val="22"/>
        </w:rPr>
        <w:t>Creating and maintaining an environment where members are well informed, valued and feel they belong</w:t>
      </w:r>
    </w:p>
    <w:p w:rsidR="00FC205F" w:rsidRPr="004C39B6" w:rsidRDefault="00FC205F" w:rsidP="00FC205F">
      <w:pPr>
        <w:pStyle w:val="BodyText"/>
        <w:keepNext w:val="0"/>
        <w:keepLines w:val="0"/>
        <w:tabs>
          <w:tab w:val="left" w:pos="567"/>
        </w:tabs>
        <w:spacing w:after="120"/>
        <w:ind w:left="567"/>
        <w:rPr>
          <w:rFonts w:ascii="Arial" w:hAnsi="Arial" w:cs="Arial"/>
          <w:sz w:val="22"/>
          <w:szCs w:val="22"/>
        </w:rPr>
      </w:pPr>
      <w:r>
        <w:rPr>
          <w:rFonts w:ascii="Arial" w:hAnsi="Arial" w:cs="Arial"/>
          <w:sz w:val="22"/>
          <w:szCs w:val="22"/>
        </w:rPr>
        <w:t>The Commission understands that an inclusive and informed workplace is integral to the achievement of its corporate objectives. The characteristics of a workplace of this nature include:</w:t>
      </w:r>
    </w:p>
    <w:p w:rsidR="00FC205F" w:rsidRPr="004C39B6" w:rsidRDefault="00FC205F" w:rsidP="0083415A">
      <w:pPr>
        <w:numPr>
          <w:ilvl w:val="0"/>
          <w:numId w:val="13"/>
        </w:numPr>
        <w:tabs>
          <w:tab w:val="left" w:pos="567"/>
        </w:tabs>
        <w:spacing w:after="120"/>
        <w:jc w:val="both"/>
        <w:rPr>
          <w:rFonts w:ascii="Arial" w:hAnsi="Arial" w:cs="Arial"/>
          <w:sz w:val="22"/>
          <w:szCs w:val="22"/>
        </w:rPr>
      </w:pPr>
      <w:r w:rsidRPr="004C39B6">
        <w:rPr>
          <w:rFonts w:ascii="Arial" w:hAnsi="Arial" w:cs="Arial"/>
          <w:sz w:val="22"/>
          <w:szCs w:val="22"/>
        </w:rPr>
        <w:t>having effective and safe working relationships that enable a team approach to be taken to service delivery;</w:t>
      </w:r>
    </w:p>
    <w:p w:rsidR="00FC205F" w:rsidRPr="004C39B6" w:rsidRDefault="00FC205F" w:rsidP="0083415A">
      <w:pPr>
        <w:numPr>
          <w:ilvl w:val="0"/>
          <w:numId w:val="13"/>
        </w:numPr>
        <w:tabs>
          <w:tab w:val="left" w:pos="567"/>
        </w:tabs>
        <w:spacing w:after="120"/>
        <w:jc w:val="both"/>
        <w:rPr>
          <w:rFonts w:ascii="Arial" w:hAnsi="Arial" w:cs="Arial"/>
          <w:sz w:val="22"/>
          <w:szCs w:val="22"/>
        </w:rPr>
      </w:pPr>
      <w:r w:rsidRPr="004C39B6">
        <w:rPr>
          <w:rFonts w:ascii="Arial" w:hAnsi="Arial" w:cs="Arial"/>
          <w:sz w:val="22"/>
          <w:szCs w:val="22"/>
        </w:rPr>
        <w:t xml:space="preserve">having a workplace that accepts the value of diversity and actively encourages increasing the diversity of </w:t>
      </w:r>
      <w:smartTag w:uri="urn:schemas-microsoft-com:office:smarttags" w:element="stockticker">
        <w:r w:rsidRPr="004C39B6">
          <w:rPr>
            <w:rFonts w:ascii="Arial" w:hAnsi="Arial" w:cs="Arial"/>
            <w:sz w:val="22"/>
            <w:szCs w:val="22"/>
          </w:rPr>
          <w:t>TFS</w:t>
        </w:r>
      </w:smartTag>
      <w:r w:rsidRPr="004C39B6">
        <w:rPr>
          <w:rFonts w:ascii="Arial" w:hAnsi="Arial" w:cs="Arial"/>
          <w:sz w:val="22"/>
          <w:szCs w:val="22"/>
        </w:rPr>
        <w:t xml:space="preserve"> workforce;</w:t>
      </w:r>
    </w:p>
    <w:p w:rsidR="00FC205F" w:rsidRPr="001D3A0B" w:rsidRDefault="00FC205F" w:rsidP="0083415A">
      <w:pPr>
        <w:pStyle w:val="BodyText2"/>
        <w:keepNext w:val="0"/>
        <w:keepLines w:val="0"/>
        <w:numPr>
          <w:ilvl w:val="0"/>
          <w:numId w:val="13"/>
        </w:numPr>
        <w:tabs>
          <w:tab w:val="left" w:pos="540"/>
        </w:tabs>
        <w:spacing w:after="80"/>
        <w:rPr>
          <w:rFonts w:ascii="Arial" w:hAnsi="Arial" w:cs="Arial"/>
          <w:sz w:val="22"/>
          <w:szCs w:val="22"/>
        </w:rPr>
      </w:pPr>
      <w:r w:rsidRPr="0089394E">
        <w:rPr>
          <w:rFonts w:ascii="Arial" w:hAnsi="Arial" w:cs="Arial"/>
          <w:sz w:val="22"/>
          <w:szCs w:val="22"/>
        </w:rPr>
        <w:t>effective communication systems that encourage organisational participation, understanding and belonging;</w:t>
      </w:r>
    </w:p>
    <w:p w:rsidR="00FC205F" w:rsidRPr="003633AE" w:rsidRDefault="00FC205F" w:rsidP="00FC205F">
      <w:pPr>
        <w:pStyle w:val="BodyText"/>
        <w:keepNext w:val="0"/>
        <w:keepLines w:val="0"/>
        <w:tabs>
          <w:tab w:val="left" w:pos="567"/>
        </w:tabs>
        <w:spacing w:after="120"/>
        <w:ind w:left="567"/>
        <w:rPr>
          <w:rFonts w:ascii="Arial" w:hAnsi="Arial" w:cs="Arial"/>
          <w:sz w:val="22"/>
          <w:szCs w:val="22"/>
        </w:rPr>
      </w:pPr>
      <w:r w:rsidRPr="003633AE">
        <w:rPr>
          <w:rFonts w:ascii="Arial" w:hAnsi="Arial" w:cs="Arial"/>
          <w:sz w:val="22"/>
          <w:szCs w:val="22"/>
        </w:rPr>
        <w:t>Key projects in this area that will be undertaken during the life of this plan include:</w:t>
      </w:r>
    </w:p>
    <w:p w:rsidR="00FC205F" w:rsidRPr="007A19EF" w:rsidRDefault="00FC205F" w:rsidP="0083415A">
      <w:pPr>
        <w:pStyle w:val="BodyText2"/>
        <w:keepNext w:val="0"/>
        <w:keepLines w:val="0"/>
        <w:numPr>
          <w:ilvl w:val="0"/>
          <w:numId w:val="13"/>
        </w:numPr>
        <w:tabs>
          <w:tab w:val="left" w:pos="540"/>
        </w:tabs>
        <w:spacing w:after="80"/>
        <w:rPr>
          <w:rFonts w:ascii="Arial" w:hAnsi="Arial" w:cs="Arial"/>
          <w:sz w:val="22"/>
          <w:szCs w:val="22"/>
        </w:rPr>
      </w:pPr>
      <w:r>
        <w:rPr>
          <w:rFonts w:ascii="Arial" w:hAnsi="Arial" w:cs="Arial"/>
          <w:sz w:val="22"/>
          <w:szCs w:val="22"/>
        </w:rPr>
        <w:t>encouraging</w:t>
      </w:r>
      <w:r w:rsidRPr="001D3A0B">
        <w:rPr>
          <w:rFonts w:ascii="Arial" w:hAnsi="Arial" w:cs="Arial"/>
          <w:sz w:val="22"/>
          <w:szCs w:val="22"/>
        </w:rPr>
        <w:t xml:space="preserve"> and support</w:t>
      </w:r>
      <w:r>
        <w:rPr>
          <w:rFonts w:ascii="Arial" w:hAnsi="Arial" w:cs="Arial"/>
          <w:sz w:val="22"/>
          <w:szCs w:val="22"/>
        </w:rPr>
        <w:t>ing</w:t>
      </w:r>
      <w:r w:rsidRPr="001D3A0B">
        <w:rPr>
          <w:rFonts w:ascii="Arial" w:hAnsi="Arial" w:cs="Arial"/>
          <w:sz w:val="22"/>
          <w:szCs w:val="22"/>
        </w:rPr>
        <w:t xml:space="preserve"> values, attitudes and behaviours whic</w:t>
      </w:r>
      <w:r>
        <w:rPr>
          <w:rFonts w:ascii="Arial" w:hAnsi="Arial" w:cs="Arial"/>
          <w:sz w:val="22"/>
          <w:szCs w:val="22"/>
        </w:rPr>
        <w:t>h create a cohesive organisation committed to achieving organisational goals.</w:t>
      </w:r>
    </w:p>
    <w:p w:rsidR="00FC205F" w:rsidRDefault="00FC205F" w:rsidP="0083415A">
      <w:pPr>
        <w:pStyle w:val="BodyText2"/>
        <w:keepNext w:val="0"/>
        <w:keepLines w:val="0"/>
        <w:numPr>
          <w:ilvl w:val="0"/>
          <w:numId w:val="13"/>
        </w:numPr>
        <w:tabs>
          <w:tab w:val="left" w:pos="540"/>
        </w:tabs>
        <w:spacing w:after="80"/>
        <w:rPr>
          <w:rFonts w:ascii="Arial" w:hAnsi="Arial" w:cs="Arial"/>
          <w:sz w:val="22"/>
          <w:szCs w:val="22"/>
        </w:rPr>
      </w:pPr>
      <w:r>
        <w:rPr>
          <w:rFonts w:ascii="Arial" w:hAnsi="Arial" w:cs="Arial"/>
          <w:sz w:val="22"/>
          <w:szCs w:val="22"/>
        </w:rPr>
        <w:t>describing</w:t>
      </w:r>
      <w:r w:rsidRPr="001D3A0B">
        <w:rPr>
          <w:rFonts w:ascii="Arial" w:hAnsi="Arial" w:cs="Arial"/>
          <w:sz w:val="22"/>
          <w:szCs w:val="22"/>
        </w:rPr>
        <w:t xml:space="preserve"> and foster</w:t>
      </w:r>
      <w:r>
        <w:rPr>
          <w:rFonts w:ascii="Arial" w:hAnsi="Arial" w:cs="Arial"/>
          <w:sz w:val="22"/>
          <w:szCs w:val="22"/>
        </w:rPr>
        <w:t>ing</w:t>
      </w:r>
      <w:r w:rsidRPr="001D3A0B">
        <w:rPr>
          <w:rFonts w:ascii="Arial" w:hAnsi="Arial" w:cs="Arial"/>
          <w:sz w:val="22"/>
          <w:szCs w:val="22"/>
        </w:rPr>
        <w:t xml:space="preserve"> an organisational culture which establishes appropriate workloads, work practices and attitudes.</w:t>
      </w:r>
    </w:p>
    <w:p w:rsidR="00290446" w:rsidRDefault="00290446" w:rsidP="0099324F">
      <w:pPr>
        <w:spacing w:after="120"/>
        <w:sectPr w:rsidR="00290446" w:rsidSect="004C7EF5">
          <w:footerReference w:type="default" r:id="rId17"/>
          <w:headerReference w:type="first" r:id="rId18"/>
          <w:footerReference w:type="first" r:id="rId19"/>
          <w:pgSz w:w="11907" w:h="16840" w:code="9"/>
          <w:pgMar w:top="1134" w:right="567" w:bottom="1134" w:left="1134" w:header="720" w:footer="397" w:gutter="284"/>
          <w:pgNumType w:start="1"/>
          <w:cols w:space="720"/>
          <w:titlePg/>
        </w:sectPr>
      </w:pPr>
    </w:p>
    <w:tbl>
      <w:tblPr>
        <w:tblW w:w="9639" w:type="dxa"/>
        <w:tblInd w:w="108" w:type="dxa"/>
        <w:tblLayout w:type="fixed"/>
        <w:tblLook w:val="04A0" w:firstRow="1" w:lastRow="0" w:firstColumn="1" w:lastColumn="0" w:noHBand="0" w:noVBand="1"/>
      </w:tblPr>
      <w:tblGrid>
        <w:gridCol w:w="2086"/>
        <w:gridCol w:w="1079"/>
        <w:gridCol w:w="1079"/>
        <w:gridCol w:w="1079"/>
        <w:gridCol w:w="1079"/>
        <w:gridCol w:w="1079"/>
        <w:gridCol w:w="1079"/>
        <w:gridCol w:w="1079"/>
      </w:tblGrid>
      <w:tr w:rsidR="003A4342" w:rsidRPr="003A4342" w:rsidTr="008A3BFD">
        <w:trPr>
          <w:trHeight w:val="402"/>
        </w:trPr>
        <w:tc>
          <w:tcPr>
            <w:tcW w:w="9639" w:type="dxa"/>
            <w:gridSpan w:val="8"/>
            <w:tcBorders>
              <w:top w:val="nil"/>
              <w:left w:val="nil"/>
              <w:bottom w:val="nil"/>
              <w:right w:val="nil"/>
            </w:tcBorders>
            <w:shd w:val="clear" w:color="auto" w:fill="auto"/>
            <w:noWrap/>
            <w:vAlign w:val="bottom"/>
            <w:hideMark/>
          </w:tcPr>
          <w:p w:rsidR="003A4342" w:rsidRPr="003A4342" w:rsidRDefault="003A4342" w:rsidP="003A4342">
            <w:pPr>
              <w:jc w:val="center"/>
              <w:rPr>
                <w:rFonts w:ascii="Arial" w:hAnsi="Arial" w:cs="Arial"/>
                <w:b/>
                <w:bCs/>
                <w:sz w:val="28"/>
                <w:szCs w:val="28"/>
              </w:rPr>
            </w:pPr>
            <w:r w:rsidRPr="003A4342">
              <w:rPr>
                <w:rFonts w:ascii="Arial" w:hAnsi="Arial" w:cs="Arial"/>
                <w:b/>
                <w:bCs/>
                <w:sz w:val="28"/>
                <w:szCs w:val="28"/>
              </w:rPr>
              <w:t>STATE FIRE COMMISSION</w:t>
            </w:r>
          </w:p>
        </w:tc>
      </w:tr>
      <w:tr w:rsidR="003A4342" w:rsidRPr="003A4342" w:rsidTr="008A3BFD">
        <w:trPr>
          <w:trHeight w:val="402"/>
        </w:trPr>
        <w:tc>
          <w:tcPr>
            <w:tcW w:w="9639" w:type="dxa"/>
            <w:gridSpan w:val="8"/>
            <w:tcBorders>
              <w:top w:val="nil"/>
              <w:left w:val="nil"/>
              <w:bottom w:val="nil"/>
              <w:right w:val="nil"/>
            </w:tcBorders>
            <w:shd w:val="clear" w:color="auto" w:fill="auto"/>
            <w:noWrap/>
            <w:vAlign w:val="bottom"/>
            <w:hideMark/>
          </w:tcPr>
          <w:p w:rsidR="003A4342" w:rsidRPr="003A4342" w:rsidRDefault="003A4342" w:rsidP="008A3BFD">
            <w:pPr>
              <w:spacing w:after="120"/>
              <w:jc w:val="center"/>
              <w:rPr>
                <w:rFonts w:ascii="Arial" w:hAnsi="Arial" w:cs="Arial"/>
                <w:b/>
                <w:bCs/>
                <w:sz w:val="22"/>
                <w:szCs w:val="22"/>
              </w:rPr>
            </w:pPr>
            <w:r w:rsidRPr="003A4342">
              <w:rPr>
                <w:rFonts w:ascii="Arial" w:hAnsi="Arial" w:cs="Arial"/>
                <w:b/>
                <w:bCs/>
                <w:sz w:val="22"/>
                <w:szCs w:val="22"/>
              </w:rPr>
              <w:t xml:space="preserve"> FINANCIAL PLAN - INCOME STATEMENT </w:t>
            </w:r>
          </w:p>
        </w:tc>
      </w:tr>
      <w:tr w:rsidR="003A4342" w:rsidRPr="003A4342" w:rsidTr="008A3BFD">
        <w:trPr>
          <w:trHeight w:val="589"/>
        </w:trPr>
        <w:tc>
          <w:tcPr>
            <w:tcW w:w="2086" w:type="dxa"/>
            <w:tcBorders>
              <w:top w:val="nil"/>
              <w:left w:val="nil"/>
              <w:bottom w:val="nil"/>
              <w:right w:val="single" w:sz="4" w:space="0" w:color="auto"/>
            </w:tcBorders>
            <w:shd w:val="clear" w:color="auto" w:fill="auto"/>
            <w:noWrap/>
            <w:vAlign w:val="bottom"/>
            <w:hideMark/>
          </w:tcPr>
          <w:p w:rsidR="003A4342" w:rsidRPr="003A4342" w:rsidRDefault="003A4342" w:rsidP="003A4342">
            <w:pPr>
              <w:rPr>
                <w:rFonts w:ascii="Arial" w:hAnsi="Arial" w:cs="Arial"/>
              </w:rPr>
            </w:pPr>
          </w:p>
        </w:tc>
        <w:tc>
          <w:tcPr>
            <w:tcW w:w="1079" w:type="dxa"/>
            <w:tcBorders>
              <w:top w:val="single" w:sz="4" w:space="0" w:color="auto"/>
              <w:left w:val="single" w:sz="4" w:space="0" w:color="auto"/>
              <w:bottom w:val="nil"/>
              <w:right w:val="single" w:sz="4" w:space="0" w:color="auto"/>
            </w:tcBorders>
            <w:shd w:val="clear" w:color="auto" w:fill="auto"/>
            <w:vAlign w:val="bottom"/>
            <w:hideMark/>
          </w:tcPr>
          <w:p w:rsidR="003A4342" w:rsidRPr="003A4342" w:rsidRDefault="003A4342" w:rsidP="003A4342">
            <w:pPr>
              <w:jc w:val="center"/>
              <w:rPr>
                <w:rFonts w:ascii="Arial" w:hAnsi="Arial" w:cs="Arial"/>
                <w:b/>
                <w:bCs/>
              </w:rPr>
            </w:pPr>
            <w:r w:rsidRPr="003A4342">
              <w:rPr>
                <w:rFonts w:ascii="Arial" w:hAnsi="Arial" w:cs="Arial"/>
                <w:b/>
                <w:bCs/>
              </w:rPr>
              <w:t>Actual</w:t>
            </w:r>
          </w:p>
        </w:tc>
        <w:tc>
          <w:tcPr>
            <w:tcW w:w="1079" w:type="dxa"/>
            <w:tcBorders>
              <w:top w:val="single" w:sz="4" w:space="0" w:color="auto"/>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br/>
              <w:t>Base - Budget</w:t>
            </w:r>
          </w:p>
        </w:tc>
        <w:tc>
          <w:tcPr>
            <w:tcW w:w="1079" w:type="dxa"/>
            <w:tcBorders>
              <w:top w:val="single" w:sz="4" w:space="0" w:color="auto"/>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color w:val="FFFFFF"/>
              </w:rPr>
              <w:t xml:space="preserve">Revised </w:t>
            </w:r>
            <w:r w:rsidRPr="003A4342">
              <w:rPr>
                <w:rFonts w:ascii="Arial" w:hAnsi="Arial" w:cs="Arial"/>
                <w:b/>
                <w:bCs/>
              </w:rPr>
              <w:t xml:space="preserve">Year 1 </w:t>
            </w:r>
          </w:p>
        </w:tc>
        <w:tc>
          <w:tcPr>
            <w:tcW w:w="1079" w:type="dxa"/>
            <w:tcBorders>
              <w:top w:val="single" w:sz="4" w:space="0" w:color="auto"/>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color w:val="FFFFFF"/>
              </w:rPr>
              <w:t xml:space="preserve"> Revised </w:t>
            </w:r>
            <w:r w:rsidRPr="003A4342">
              <w:rPr>
                <w:rFonts w:ascii="Arial" w:hAnsi="Arial" w:cs="Arial"/>
                <w:b/>
                <w:bCs/>
              </w:rPr>
              <w:t>Year 2</w:t>
            </w:r>
          </w:p>
        </w:tc>
        <w:tc>
          <w:tcPr>
            <w:tcW w:w="1079" w:type="dxa"/>
            <w:tcBorders>
              <w:top w:val="single" w:sz="4" w:space="0" w:color="auto"/>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color w:val="FFFFFF"/>
              </w:rPr>
              <w:t xml:space="preserve">Revised </w:t>
            </w:r>
            <w:r w:rsidRPr="003A4342">
              <w:rPr>
                <w:rFonts w:ascii="Arial" w:hAnsi="Arial" w:cs="Arial"/>
                <w:b/>
                <w:bCs/>
              </w:rPr>
              <w:t xml:space="preserve">Year 3 </w:t>
            </w:r>
          </w:p>
        </w:tc>
        <w:tc>
          <w:tcPr>
            <w:tcW w:w="1079" w:type="dxa"/>
            <w:tcBorders>
              <w:top w:val="single" w:sz="4" w:space="0" w:color="auto"/>
              <w:left w:val="nil"/>
              <w:bottom w:val="nil"/>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xml:space="preserve">Year 4 </w:t>
            </w:r>
          </w:p>
        </w:tc>
        <w:tc>
          <w:tcPr>
            <w:tcW w:w="1079" w:type="dxa"/>
            <w:tcBorders>
              <w:top w:val="single" w:sz="4" w:space="0" w:color="auto"/>
              <w:left w:val="nil"/>
              <w:bottom w:val="nil"/>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xml:space="preserve">Year 5 </w:t>
            </w:r>
          </w:p>
        </w:tc>
      </w:tr>
      <w:tr w:rsidR="003A4342" w:rsidRPr="003A4342" w:rsidTr="008A3BFD">
        <w:trPr>
          <w:trHeight w:val="285"/>
        </w:trPr>
        <w:tc>
          <w:tcPr>
            <w:tcW w:w="2086" w:type="dxa"/>
            <w:tcBorders>
              <w:top w:val="nil"/>
              <w:left w:val="nil"/>
              <w:bottom w:val="nil"/>
              <w:right w:val="single" w:sz="4" w:space="0" w:color="auto"/>
            </w:tcBorders>
            <w:shd w:val="clear" w:color="auto" w:fill="auto"/>
            <w:noWrap/>
            <w:vAlign w:val="bottom"/>
            <w:hideMark/>
          </w:tcPr>
          <w:p w:rsidR="003A4342" w:rsidRPr="003A4342" w:rsidRDefault="003A4342" w:rsidP="003A4342">
            <w:pPr>
              <w:rPr>
                <w:rFonts w:ascii="Arial" w:hAnsi="Arial" w:cs="Arial"/>
              </w:rPr>
            </w:pPr>
          </w:p>
        </w:tc>
        <w:tc>
          <w:tcPr>
            <w:tcW w:w="1079" w:type="dxa"/>
            <w:tcBorders>
              <w:top w:val="nil"/>
              <w:left w:val="single" w:sz="4" w:space="0" w:color="auto"/>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2009-10</w:t>
            </w:r>
          </w:p>
        </w:tc>
        <w:tc>
          <w:tcPr>
            <w:tcW w:w="1079" w:type="dxa"/>
            <w:tcBorders>
              <w:top w:val="nil"/>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2010-11</w:t>
            </w:r>
          </w:p>
        </w:tc>
        <w:tc>
          <w:tcPr>
            <w:tcW w:w="1079" w:type="dxa"/>
            <w:tcBorders>
              <w:top w:val="nil"/>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2011-12</w:t>
            </w:r>
          </w:p>
        </w:tc>
        <w:tc>
          <w:tcPr>
            <w:tcW w:w="1079" w:type="dxa"/>
            <w:tcBorders>
              <w:top w:val="nil"/>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2012-13</w:t>
            </w:r>
          </w:p>
        </w:tc>
        <w:tc>
          <w:tcPr>
            <w:tcW w:w="1079" w:type="dxa"/>
            <w:tcBorders>
              <w:top w:val="nil"/>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2013-14</w:t>
            </w:r>
          </w:p>
        </w:tc>
        <w:tc>
          <w:tcPr>
            <w:tcW w:w="1079" w:type="dxa"/>
            <w:tcBorders>
              <w:top w:val="nil"/>
              <w:left w:val="nil"/>
              <w:bottom w:val="nil"/>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2014-15</w:t>
            </w:r>
          </w:p>
        </w:tc>
        <w:tc>
          <w:tcPr>
            <w:tcW w:w="1079" w:type="dxa"/>
            <w:tcBorders>
              <w:top w:val="nil"/>
              <w:left w:val="nil"/>
              <w:bottom w:val="nil"/>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2015-16</w:t>
            </w:r>
          </w:p>
        </w:tc>
      </w:tr>
      <w:tr w:rsidR="003A4342" w:rsidRPr="003A4342" w:rsidTr="008A3BFD">
        <w:trPr>
          <w:trHeight w:val="300"/>
        </w:trPr>
        <w:tc>
          <w:tcPr>
            <w:tcW w:w="2086" w:type="dxa"/>
            <w:tcBorders>
              <w:top w:val="nil"/>
              <w:left w:val="nil"/>
              <w:bottom w:val="nil"/>
              <w:right w:val="single" w:sz="4" w:space="0" w:color="auto"/>
            </w:tcBorders>
            <w:shd w:val="clear" w:color="auto" w:fill="auto"/>
            <w:noWrap/>
            <w:vAlign w:val="bottom"/>
            <w:hideMark/>
          </w:tcPr>
          <w:p w:rsidR="003A4342" w:rsidRPr="003A4342" w:rsidRDefault="003A4342" w:rsidP="003A4342">
            <w:pPr>
              <w:rPr>
                <w:rFonts w:ascii="Arial" w:hAnsi="Arial" w:cs="Arial"/>
              </w:rPr>
            </w:pPr>
          </w:p>
        </w:tc>
        <w:tc>
          <w:tcPr>
            <w:tcW w:w="1079"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r>
      <w:tr w:rsidR="003A4342" w:rsidRPr="003A4342" w:rsidTr="008A3BFD">
        <w:trPr>
          <w:trHeight w:val="360"/>
        </w:trPr>
        <w:tc>
          <w:tcPr>
            <w:tcW w:w="20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REVENUE</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color w:val="FFFFFF"/>
              </w:rPr>
            </w:pPr>
            <w:r w:rsidRPr="003A4342">
              <w:rPr>
                <w:rFonts w:ascii="Arial" w:hAnsi="Arial" w:cs="Arial"/>
                <w:color w:val="FFFFFF"/>
              </w:rPr>
              <w:t>#REF!</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color w:val="FFFFFF"/>
              </w:rPr>
            </w:pPr>
            <w:r w:rsidRPr="003A4342">
              <w:rPr>
                <w:rFonts w:ascii="Arial" w:hAnsi="Arial" w:cs="Arial"/>
                <w:color w:val="FFFFFF"/>
              </w:rPr>
              <w:t>105.0%</w:t>
            </w:r>
          </w:p>
        </w:tc>
        <w:tc>
          <w:tcPr>
            <w:tcW w:w="1079" w:type="dxa"/>
            <w:tcBorders>
              <w:top w:val="nil"/>
              <w:left w:val="nil"/>
              <w:bottom w:val="single" w:sz="4" w:space="0" w:color="auto"/>
              <w:right w:val="single" w:sz="4" w:space="0" w:color="auto"/>
            </w:tcBorders>
            <w:shd w:val="clear" w:color="000000" w:fill="FFFFFF"/>
            <w:vAlign w:val="center"/>
            <w:hideMark/>
          </w:tcPr>
          <w:p w:rsidR="003A4342" w:rsidRPr="003A4342" w:rsidRDefault="003A4342" w:rsidP="003A4342">
            <w:pPr>
              <w:jc w:val="right"/>
              <w:rPr>
                <w:rFonts w:ascii="Arial" w:hAnsi="Arial" w:cs="Arial"/>
                <w:color w:val="FFFFFF"/>
              </w:rPr>
            </w:pPr>
            <w:r w:rsidRPr="003A4342">
              <w:rPr>
                <w:rFonts w:ascii="Arial" w:hAnsi="Arial" w:cs="Arial"/>
                <w:color w:val="FFFFFF"/>
              </w:rPr>
              <w:t>105.0%</w:t>
            </w:r>
          </w:p>
        </w:tc>
        <w:tc>
          <w:tcPr>
            <w:tcW w:w="1079" w:type="dxa"/>
            <w:tcBorders>
              <w:top w:val="nil"/>
              <w:left w:val="nil"/>
              <w:bottom w:val="single" w:sz="4" w:space="0" w:color="auto"/>
              <w:right w:val="single" w:sz="4" w:space="0" w:color="auto"/>
            </w:tcBorders>
            <w:shd w:val="clear" w:color="000000" w:fill="FFFFFF"/>
            <w:vAlign w:val="center"/>
            <w:hideMark/>
          </w:tcPr>
          <w:p w:rsidR="003A4342" w:rsidRPr="003A4342" w:rsidRDefault="003A4342" w:rsidP="003A4342">
            <w:pPr>
              <w:jc w:val="right"/>
              <w:rPr>
                <w:rFonts w:ascii="Arial" w:hAnsi="Arial" w:cs="Arial"/>
                <w:color w:val="FFFFFF"/>
              </w:rPr>
            </w:pPr>
            <w:r w:rsidRPr="003A4342">
              <w:rPr>
                <w:rFonts w:ascii="Arial" w:hAnsi="Arial" w:cs="Arial"/>
                <w:color w:val="FFFFFF"/>
              </w:rPr>
              <w:t>107.0%</w:t>
            </w:r>
          </w:p>
        </w:tc>
        <w:tc>
          <w:tcPr>
            <w:tcW w:w="1079" w:type="dxa"/>
            <w:tcBorders>
              <w:top w:val="nil"/>
              <w:left w:val="nil"/>
              <w:bottom w:val="single" w:sz="4" w:space="0" w:color="auto"/>
              <w:right w:val="single" w:sz="4" w:space="0" w:color="auto"/>
            </w:tcBorders>
            <w:shd w:val="clear" w:color="000000" w:fill="FFFFFF"/>
            <w:vAlign w:val="center"/>
            <w:hideMark/>
          </w:tcPr>
          <w:p w:rsidR="003A4342" w:rsidRPr="003A4342" w:rsidRDefault="003A4342" w:rsidP="003A4342">
            <w:pPr>
              <w:jc w:val="right"/>
              <w:rPr>
                <w:rFonts w:ascii="Arial" w:hAnsi="Arial" w:cs="Arial"/>
                <w:color w:val="FFFFFF"/>
              </w:rPr>
            </w:pPr>
            <w:r w:rsidRPr="003A4342">
              <w:rPr>
                <w:rFonts w:ascii="Arial" w:hAnsi="Arial" w:cs="Arial"/>
                <w:color w:val="FFFFFF"/>
              </w:rPr>
              <w:t>109.1%</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color w:val="FFFFFF"/>
              </w:rPr>
            </w:pP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color w:val="FFFFFF"/>
              </w:rPr>
            </w:pP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Fire Service Contribution</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29,856</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31,343</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32,283</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33,251</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34,249</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35,276</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36,334</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Insurance Fire Levy</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17,016</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15,700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16,000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16,200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16,400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16,600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16,800</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State Government</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6,349</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3,575</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2,575</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2,313</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2,050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2,050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2,050</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Motor Vehicle Fire Levy</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6,457</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6,000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6,400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6,400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6,400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6,800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6,800</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Fire Prevention Charges</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8,523</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5,300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5,580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5,689</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5,880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5,966</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6,055</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Sundry Income</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2,839</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809</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838</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868</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898</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928</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958</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Interest</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99</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43</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180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140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120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120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120</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Commonwealth Government</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855</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660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745</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680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680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680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680</w:t>
            </w:r>
          </w:p>
        </w:tc>
      </w:tr>
      <w:tr w:rsidR="003A4342" w:rsidRPr="003A4342" w:rsidTr="008A3BFD">
        <w:trPr>
          <w:trHeight w:val="525"/>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Total Revenue from Ordinary Activities</w:t>
            </w:r>
          </w:p>
        </w:tc>
        <w:tc>
          <w:tcPr>
            <w:tcW w:w="1079" w:type="dxa"/>
            <w:tcBorders>
              <w:top w:val="double" w:sz="6" w:space="0" w:color="auto"/>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b/>
                <w:bCs/>
              </w:rPr>
            </w:pPr>
            <w:r w:rsidRPr="003A4342">
              <w:rPr>
                <w:rFonts w:ascii="Arial" w:hAnsi="Arial" w:cs="Arial"/>
                <w:b/>
                <w:bCs/>
              </w:rPr>
              <w:t>71,994</w:t>
            </w:r>
          </w:p>
        </w:tc>
        <w:tc>
          <w:tcPr>
            <w:tcW w:w="1079" w:type="dxa"/>
            <w:tcBorders>
              <w:top w:val="double" w:sz="6" w:space="0" w:color="auto"/>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b/>
                <w:bCs/>
              </w:rPr>
            </w:pPr>
            <w:r w:rsidRPr="003A4342">
              <w:rPr>
                <w:rFonts w:ascii="Arial" w:hAnsi="Arial" w:cs="Arial"/>
                <w:b/>
                <w:bCs/>
              </w:rPr>
              <w:t>63,430</w:t>
            </w:r>
          </w:p>
        </w:tc>
        <w:tc>
          <w:tcPr>
            <w:tcW w:w="1079" w:type="dxa"/>
            <w:tcBorders>
              <w:top w:val="double" w:sz="6" w:space="0" w:color="auto"/>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b/>
                <w:bCs/>
              </w:rPr>
            </w:pPr>
            <w:r w:rsidRPr="003A4342">
              <w:rPr>
                <w:rFonts w:ascii="Arial" w:hAnsi="Arial" w:cs="Arial"/>
                <w:b/>
                <w:bCs/>
              </w:rPr>
              <w:t>64,601</w:t>
            </w:r>
          </w:p>
        </w:tc>
        <w:tc>
          <w:tcPr>
            <w:tcW w:w="1079" w:type="dxa"/>
            <w:tcBorders>
              <w:top w:val="double" w:sz="6" w:space="0" w:color="auto"/>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b/>
                <w:bCs/>
              </w:rPr>
            </w:pPr>
            <w:r w:rsidRPr="003A4342">
              <w:rPr>
                <w:rFonts w:ascii="Arial" w:hAnsi="Arial" w:cs="Arial"/>
                <w:b/>
                <w:bCs/>
              </w:rPr>
              <w:t>65,541</w:t>
            </w:r>
          </w:p>
        </w:tc>
        <w:tc>
          <w:tcPr>
            <w:tcW w:w="1079" w:type="dxa"/>
            <w:tcBorders>
              <w:top w:val="double" w:sz="6" w:space="0" w:color="auto"/>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b/>
                <w:bCs/>
              </w:rPr>
            </w:pPr>
            <w:r w:rsidRPr="003A4342">
              <w:rPr>
                <w:rFonts w:ascii="Arial" w:hAnsi="Arial" w:cs="Arial"/>
                <w:b/>
                <w:bCs/>
              </w:rPr>
              <w:t>66,677</w:t>
            </w:r>
          </w:p>
        </w:tc>
        <w:tc>
          <w:tcPr>
            <w:tcW w:w="1079" w:type="dxa"/>
            <w:tcBorders>
              <w:top w:val="double" w:sz="6" w:space="0" w:color="auto"/>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b/>
                <w:bCs/>
              </w:rPr>
            </w:pPr>
            <w:r w:rsidRPr="003A4342">
              <w:rPr>
                <w:rFonts w:ascii="Arial" w:hAnsi="Arial" w:cs="Arial"/>
                <w:b/>
                <w:bCs/>
              </w:rPr>
              <w:t>68,420</w:t>
            </w:r>
          </w:p>
        </w:tc>
        <w:tc>
          <w:tcPr>
            <w:tcW w:w="1079" w:type="dxa"/>
            <w:tcBorders>
              <w:top w:val="double" w:sz="6" w:space="0" w:color="auto"/>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b/>
                <w:bCs/>
              </w:rPr>
            </w:pPr>
            <w:r w:rsidRPr="003A4342">
              <w:rPr>
                <w:rFonts w:ascii="Arial" w:hAnsi="Arial" w:cs="Arial"/>
                <w:b/>
                <w:bCs/>
              </w:rPr>
              <w:t>69,797</w:t>
            </w:r>
          </w:p>
        </w:tc>
      </w:tr>
      <w:tr w:rsidR="003A4342" w:rsidRPr="003A4342" w:rsidTr="008A3BFD">
        <w:trPr>
          <w:trHeight w:val="255"/>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 </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 </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 </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color w:val="FFFFFF"/>
              </w:rPr>
            </w:pPr>
            <w:r w:rsidRPr="003A4342">
              <w:rPr>
                <w:rFonts w:ascii="Arial" w:hAnsi="Arial" w:cs="Arial"/>
                <w:color w:val="FFFFFF"/>
              </w:rPr>
              <w:t>-800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color w:val="FFFFFF"/>
              </w:rPr>
            </w:pPr>
            <w:r w:rsidRPr="003A4342">
              <w:rPr>
                <w:rFonts w:ascii="Arial" w:hAnsi="Arial" w:cs="Arial"/>
                <w:color w:val="FFFFFF"/>
              </w:rPr>
              <w:t>-1,973</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color w:val="FFFFFF"/>
              </w:rPr>
            </w:pPr>
            <w:r w:rsidRPr="003A4342">
              <w:rPr>
                <w:rFonts w:ascii="Arial" w:hAnsi="Arial" w:cs="Arial"/>
                <w:color w:val="FFFFFF"/>
              </w:rPr>
              <w:t>-2,627</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C23EF6" w:rsidP="003A4342">
            <w:pPr>
              <w:jc w:val="right"/>
              <w:rPr>
                <w:rFonts w:ascii="Arial" w:hAnsi="Arial" w:cs="Arial"/>
                <w:color w:val="FFFFFF"/>
              </w:rPr>
            </w:pPr>
            <w:r>
              <w:rPr>
                <w:rFonts w:ascii="Arial" w:hAnsi="Arial" w:cs="Arial"/>
                <w:color w:val="FFFFFF"/>
              </w:rPr>
              <w:t xml:space="preserve"> </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C23EF6" w:rsidP="003A4342">
            <w:pPr>
              <w:jc w:val="right"/>
              <w:rPr>
                <w:rFonts w:ascii="Arial" w:hAnsi="Arial" w:cs="Arial"/>
                <w:color w:val="FFFFFF"/>
              </w:rPr>
            </w:pPr>
            <w:r>
              <w:rPr>
                <w:rFonts w:ascii="Arial" w:hAnsi="Arial" w:cs="Arial"/>
                <w:color w:val="FFFFFF"/>
              </w:rPr>
              <w:t xml:space="preserve"> </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EXPENSES:</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 </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 </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color w:val="FFFFFF"/>
              </w:rPr>
            </w:pPr>
            <w:r w:rsidRPr="003A4342">
              <w:rPr>
                <w:rFonts w:ascii="Arial" w:hAnsi="Arial" w:cs="Arial"/>
                <w:color w:val="FFFFFF"/>
              </w:rPr>
              <w:t> </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color w:val="FFFFFF"/>
              </w:rPr>
            </w:pPr>
            <w:r w:rsidRPr="003A4342">
              <w:rPr>
                <w:rFonts w:ascii="Arial" w:hAnsi="Arial" w:cs="Arial"/>
                <w:color w:val="FFFFFF"/>
              </w:rPr>
              <w:t>-74</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color w:val="FFFFFF"/>
              </w:rPr>
            </w:pPr>
            <w:r w:rsidRPr="003A4342">
              <w:rPr>
                <w:rFonts w:ascii="Arial" w:hAnsi="Arial" w:cs="Arial"/>
                <w:color w:val="FFFFFF"/>
              </w:rPr>
              <w:t>-59</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C23EF6" w:rsidP="003A4342">
            <w:pPr>
              <w:jc w:val="right"/>
              <w:rPr>
                <w:rFonts w:ascii="Arial" w:hAnsi="Arial" w:cs="Arial"/>
                <w:color w:val="FFFFFF"/>
              </w:rPr>
            </w:pPr>
            <w:r>
              <w:rPr>
                <w:rFonts w:ascii="Arial" w:hAnsi="Arial" w:cs="Arial"/>
                <w:color w:val="FFFFFF"/>
              </w:rPr>
              <w:t xml:space="preserve"> </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C23EF6" w:rsidP="003A4342">
            <w:pPr>
              <w:jc w:val="right"/>
              <w:rPr>
                <w:rFonts w:ascii="Arial" w:hAnsi="Arial" w:cs="Arial"/>
                <w:color w:val="FFFFFF"/>
              </w:rPr>
            </w:pPr>
            <w:r>
              <w:rPr>
                <w:rFonts w:ascii="Arial" w:hAnsi="Arial" w:cs="Arial"/>
                <w:color w:val="FFFFFF"/>
              </w:rPr>
              <w:t xml:space="preserve"> </w:t>
            </w:r>
          </w:p>
        </w:tc>
      </w:tr>
      <w:tr w:rsidR="003A4342" w:rsidRPr="003A4342" w:rsidTr="008A3BFD">
        <w:trPr>
          <w:trHeight w:val="51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xml:space="preserve">Salaries, Wages and Related Expenses </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40,538</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41,038</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42,570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43,768</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44,851</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46,097</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47,380</w:t>
            </w:r>
          </w:p>
        </w:tc>
      </w:tr>
      <w:tr w:rsidR="003A4342" w:rsidRPr="003A4342" w:rsidTr="008A3BFD">
        <w:trPr>
          <w:trHeight w:val="765"/>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Community Awareness, Subscriptions and Professional Fees</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1,150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1,397</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1,398</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1,483</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1,573</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1,603</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1,588</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Learning and Development</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487</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820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808</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898</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936</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960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990</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Operations</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9,210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6,496</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6,729</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6,932</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7,093</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7,300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7,540</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Protective Clothing and Uniforms</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712</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1,000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850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850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850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900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900</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Accounting and Finance</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7,985</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4,730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5,225</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5,390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5,560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5,730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5,900</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Repairs and Maintenance</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1,551</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1,603</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1,550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1,601</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1,646</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1,700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1,750</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Equipment under $2,000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900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680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697</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720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733</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750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800</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Interest</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336</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430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350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440</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450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460</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470</w:t>
            </w:r>
          </w:p>
        </w:tc>
      </w:tr>
      <w:tr w:rsidR="003A4342"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Depreciation</w:t>
            </w:r>
          </w:p>
        </w:tc>
        <w:tc>
          <w:tcPr>
            <w:tcW w:w="1079" w:type="dxa"/>
            <w:tcBorders>
              <w:top w:val="nil"/>
              <w:left w:val="nil"/>
              <w:bottom w:val="double" w:sz="6"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4,688</w:t>
            </w:r>
          </w:p>
        </w:tc>
        <w:tc>
          <w:tcPr>
            <w:tcW w:w="1079" w:type="dxa"/>
            <w:tcBorders>
              <w:top w:val="nil"/>
              <w:left w:val="nil"/>
              <w:bottom w:val="double" w:sz="6"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5,113</w:t>
            </w:r>
          </w:p>
        </w:tc>
        <w:tc>
          <w:tcPr>
            <w:tcW w:w="1079" w:type="dxa"/>
            <w:tcBorders>
              <w:top w:val="nil"/>
              <w:left w:val="nil"/>
              <w:bottom w:val="double" w:sz="6"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5,132</w:t>
            </w:r>
          </w:p>
        </w:tc>
        <w:tc>
          <w:tcPr>
            <w:tcW w:w="1079" w:type="dxa"/>
            <w:tcBorders>
              <w:top w:val="nil"/>
              <w:left w:val="nil"/>
              <w:bottom w:val="double" w:sz="6"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5,326</w:t>
            </w:r>
          </w:p>
        </w:tc>
        <w:tc>
          <w:tcPr>
            <w:tcW w:w="1079" w:type="dxa"/>
            <w:tcBorders>
              <w:top w:val="nil"/>
              <w:left w:val="nil"/>
              <w:bottom w:val="double" w:sz="6"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rPr>
            </w:pPr>
            <w:r w:rsidRPr="003A4342">
              <w:rPr>
                <w:rFonts w:ascii="Arial" w:hAnsi="Arial" w:cs="Arial"/>
              </w:rPr>
              <w:t>5,484</w:t>
            </w:r>
          </w:p>
        </w:tc>
        <w:tc>
          <w:tcPr>
            <w:tcW w:w="1079" w:type="dxa"/>
            <w:tcBorders>
              <w:top w:val="nil"/>
              <w:left w:val="nil"/>
              <w:bottom w:val="double" w:sz="6"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5,645</w:t>
            </w:r>
          </w:p>
        </w:tc>
        <w:tc>
          <w:tcPr>
            <w:tcW w:w="1079" w:type="dxa"/>
            <w:tcBorders>
              <w:top w:val="nil"/>
              <w:left w:val="nil"/>
              <w:bottom w:val="double" w:sz="6"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rPr>
            </w:pPr>
            <w:r w:rsidRPr="003A4342">
              <w:rPr>
                <w:rFonts w:ascii="Arial" w:hAnsi="Arial" w:cs="Arial"/>
              </w:rPr>
              <w:t>5,645</w:t>
            </w:r>
          </w:p>
        </w:tc>
      </w:tr>
      <w:tr w:rsidR="003A4342" w:rsidRPr="003A4342" w:rsidTr="008A3BFD">
        <w:trPr>
          <w:trHeight w:val="525"/>
        </w:trPr>
        <w:tc>
          <w:tcPr>
            <w:tcW w:w="2086"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Total Expenses from Ordinary Activities</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b/>
                <w:bCs/>
              </w:rPr>
            </w:pPr>
            <w:r w:rsidRPr="003A4342">
              <w:rPr>
                <w:rFonts w:ascii="Arial" w:hAnsi="Arial" w:cs="Arial"/>
                <w:b/>
                <w:bCs/>
              </w:rPr>
              <w:t>67,557</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b/>
                <w:bCs/>
              </w:rPr>
            </w:pPr>
            <w:r w:rsidRPr="003A4342">
              <w:rPr>
                <w:rFonts w:ascii="Arial" w:hAnsi="Arial" w:cs="Arial"/>
                <w:b/>
                <w:bCs/>
              </w:rPr>
              <w:t>63,307</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b/>
                <w:bCs/>
              </w:rPr>
            </w:pPr>
            <w:r w:rsidRPr="003A4342">
              <w:rPr>
                <w:rFonts w:ascii="Arial" w:hAnsi="Arial" w:cs="Arial"/>
                <w:b/>
                <w:bCs/>
              </w:rPr>
              <w:t>65,309</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b/>
                <w:bCs/>
              </w:rPr>
            </w:pPr>
            <w:r w:rsidRPr="003A4342">
              <w:rPr>
                <w:rFonts w:ascii="Arial" w:hAnsi="Arial" w:cs="Arial"/>
                <w:b/>
                <w:bCs/>
              </w:rPr>
              <w:t>67,408</w:t>
            </w:r>
          </w:p>
        </w:tc>
        <w:tc>
          <w:tcPr>
            <w:tcW w:w="1079" w:type="dxa"/>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right"/>
              <w:rPr>
                <w:rFonts w:ascii="Arial" w:hAnsi="Arial" w:cs="Arial"/>
                <w:b/>
                <w:bCs/>
              </w:rPr>
            </w:pPr>
            <w:r w:rsidRPr="003A4342">
              <w:rPr>
                <w:rFonts w:ascii="Arial" w:hAnsi="Arial" w:cs="Arial"/>
                <w:b/>
                <w:bCs/>
              </w:rPr>
              <w:t>69,176</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b/>
                <w:bCs/>
              </w:rPr>
            </w:pPr>
            <w:r w:rsidRPr="003A4342">
              <w:rPr>
                <w:rFonts w:ascii="Arial" w:hAnsi="Arial" w:cs="Arial"/>
                <w:b/>
                <w:bCs/>
              </w:rPr>
              <w:t>71,145</w:t>
            </w:r>
          </w:p>
        </w:tc>
        <w:tc>
          <w:tcPr>
            <w:tcW w:w="1079" w:type="dxa"/>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right"/>
              <w:rPr>
                <w:rFonts w:ascii="Arial" w:hAnsi="Arial" w:cs="Arial"/>
                <w:b/>
                <w:bCs/>
              </w:rPr>
            </w:pPr>
            <w:r w:rsidRPr="003A4342">
              <w:rPr>
                <w:rFonts w:ascii="Arial" w:hAnsi="Arial" w:cs="Arial"/>
                <w:b/>
                <w:bCs/>
              </w:rPr>
              <w:t>72,963</w:t>
            </w:r>
          </w:p>
        </w:tc>
      </w:tr>
      <w:tr w:rsidR="008A3BFD"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tcPr>
          <w:p w:rsidR="008A3BFD" w:rsidRPr="008A3BFD" w:rsidRDefault="008A3BFD" w:rsidP="00601CAB">
            <w:pPr>
              <w:rPr>
                <w:rFonts w:ascii="Arial" w:hAnsi="Arial" w:cs="Arial"/>
                <w:b/>
              </w:rPr>
            </w:pPr>
          </w:p>
        </w:tc>
        <w:tc>
          <w:tcPr>
            <w:tcW w:w="1079" w:type="dxa"/>
            <w:tcBorders>
              <w:top w:val="nil"/>
              <w:left w:val="nil"/>
              <w:bottom w:val="single" w:sz="4" w:space="0" w:color="auto"/>
              <w:right w:val="single" w:sz="4" w:space="0" w:color="auto"/>
            </w:tcBorders>
            <w:shd w:val="clear" w:color="auto" w:fill="auto"/>
            <w:vAlign w:val="center"/>
          </w:tcPr>
          <w:p w:rsidR="008A3BFD" w:rsidRPr="003A4342" w:rsidRDefault="008A3BFD" w:rsidP="00601CAB">
            <w:pPr>
              <w:jc w:val="right"/>
              <w:rPr>
                <w:rFonts w:ascii="Arial" w:hAnsi="Arial" w:cs="Arial"/>
              </w:rPr>
            </w:pPr>
          </w:p>
        </w:tc>
        <w:tc>
          <w:tcPr>
            <w:tcW w:w="1079" w:type="dxa"/>
            <w:tcBorders>
              <w:top w:val="nil"/>
              <w:left w:val="nil"/>
              <w:bottom w:val="single" w:sz="4" w:space="0" w:color="auto"/>
              <w:right w:val="single" w:sz="4" w:space="0" w:color="auto"/>
            </w:tcBorders>
            <w:shd w:val="clear" w:color="auto" w:fill="auto"/>
            <w:vAlign w:val="center"/>
          </w:tcPr>
          <w:p w:rsidR="008A3BFD" w:rsidRPr="003A4342" w:rsidRDefault="008A3BFD" w:rsidP="00601CAB">
            <w:pPr>
              <w:jc w:val="right"/>
              <w:rPr>
                <w:rFonts w:ascii="Arial" w:hAnsi="Arial" w:cs="Arial"/>
              </w:rPr>
            </w:pPr>
          </w:p>
        </w:tc>
        <w:tc>
          <w:tcPr>
            <w:tcW w:w="1079" w:type="dxa"/>
            <w:tcBorders>
              <w:top w:val="nil"/>
              <w:left w:val="nil"/>
              <w:bottom w:val="single" w:sz="4" w:space="0" w:color="auto"/>
              <w:right w:val="single" w:sz="4" w:space="0" w:color="auto"/>
            </w:tcBorders>
            <w:shd w:val="clear" w:color="auto" w:fill="auto"/>
            <w:vAlign w:val="center"/>
          </w:tcPr>
          <w:p w:rsidR="008A3BFD" w:rsidRPr="003A4342" w:rsidRDefault="008A3BFD" w:rsidP="00601CAB">
            <w:pPr>
              <w:jc w:val="right"/>
              <w:rPr>
                <w:rFonts w:ascii="Arial" w:hAnsi="Arial" w:cs="Arial"/>
              </w:rPr>
            </w:pPr>
          </w:p>
        </w:tc>
        <w:tc>
          <w:tcPr>
            <w:tcW w:w="1079" w:type="dxa"/>
            <w:tcBorders>
              <w:top w:val="nil"/>
              <w:left w:val="nil"/>
              <w:bottom w:val="single" w:sz="4" w:space="0" w:color="auto"/>
              <w:right w:val="single" w:sz="4" w:space="0" w:color="auto"/>
            </w:tcBorders>
            <w:shd w:val="clear" w:color="auto" w:fill="auto"/>
            <w:vAlign w:val="center"/>
          </w:tcPr>
          <w:p w:rsidR="008A3BFD" w:rsidRPr="003A4342" w:rsidRDefault="008A3BFD" w:rsidP="00601CAB">
            <w:pPr>
              <w:jc w:val="right"/>
              <w:rPr>
                <w:rFonts w:ascii="Arial" w:hAnsi="Arial" w:cs="Arial"/>
              </w:rPr>
            </w:pPr>
          </w:p>
        </w:tc>
        <w:tc>
          <w:tcPr>
            <w:tcW w:w="1079" w:type="dxa"/>
            <w:tcBorders>
              <w:top w:val="nil"/>
              <w:left w:val="nil"/>
              <w:bottom w:val="single" w:sz="4" w:space="0" w:color="auto"/>
              <w:right w:val="single" w:sz="4" w:space="0" w:color="auto"/>
            </w:tcBorders>
            <w:shd w:val="clear" w:color="auto" w:fill="auto"/>
            <w:vAlign w:val="center"/>
          </w:tcPr>
          <w:p w:rsidR="008A3BFD" w:rsidRPr="003A4342" w:rsidRDefault="008A3BFD" w:rsidP="00601CAB">
            <w:pPr>
              <w:jc w:val="right"/>
              <w:rPr>
                <w:rFonts w:ascii="Arial" w:hAnsi="Arial" w:cs="Arial"/>
              </w:rPr>
            </w:pPr>
          </w:p>
        </w:tc>
        <w:tc>
          <w:tcPr>
            <w:tcW w:w="1079" w:type="dxa"/>
            <w:tcBorders>
              <w:top w:val="nil"/>
              <w:left w:val="nil"/>
              <w:bottom w:val="single" w:sz="4" w:space="0" w:color="auto"/>
              <w:right w:val="single" w:sz="4" w:space="0" w:color="auto"/>
            </w:tcBorders>
            <w:shd w:val="clear" w:color="auto" w:fill="EEECE1" w:themeFill="background2"/>
            <w:vAlign w:val="center"/>
          </w:tcPr>
          <w:p w:rsidR="008A3BFD" w:rsidRPr="003A4342" w:rsidRDefault="008A3BFD" w:rsidP="00601CAB">
            <w:pPr>
              <w:jc w:val="right"/>
              <w:rPr>
                <w:rFonts w:ascii="Arial" w:hAnsi="Arial" w:cs="Arial"/>
              </w:rPr>
            </w:pPr>
          </w:p>
        </w:tc>
        <w:tc>
          <w:tcPr>
            <w:tcW w:w="1079" w:type="dxa"/>
            <w:tcBorders>
              <w:top w:val="nil"/>
              <w:left w:val="nil"/>
              <w:bottom w:val="single" w:sz="4" w:space="0" w:color="auto"/>
              <w:right w:val="single" w:sz="4" w:space="0" w:color="auto"/>
            </w:tcBorders>
            <w:shd w:val="clear" w:color="auto" w:fill="EEECE1" w:themeFill="background2"/>
            <w:vAlign w:val="center"/>
          </w:tcPr>
          <w:p w:rsidR="008A3BFD" w:rsidRPr="003A4342" w:rsidRDefault="008A3BFD" w:rsidP="00601CAB">
            <w:pPr>
              <w:jc w:val="right"/>
              <w:rPr>
                <w:rFonts w:ascii="Arial" w:hAnsi="Arial" w:cs="Arial"/>
              </w:rPr>
            </w:pPr>
          </w:p>
        </w:tc>
      </w:tr>
      <w:tr w:rsidR="008A3BFD" w:rsidRPr="003A4342" w:rsidTr="008A3BFD">
        <w:trPr>
          <w:trHeight w:val="360"/>
        </w:trPr>
        <w:tc>
          <w:tcPr>
            <w:tcW w:w="2086" w:type="dxa"/>
            <w:tcBorders>
              <w:top w:val="nil"/>
              <w:left w:val="single" w:sz="4" w:space="0" w:color="auto"/>
              <w:bottom w:val="single" w:sz="4" w:space="0" w:color="auto"/>
              <w:right w:val="single" w:sz="4" w:space="0" w:color="auto"/>
            </w:tcBorders>
            <w:shd w:val="clear" w:color="auto" w:fill="auto"/>
            <w:vAlign w:val="center"/>
          </w:tcPr>
          <w:p w:rsidR="008A3BFD" w:rsidRPr="008A3BFD" w:rsidRDefault="008A3BFD" w:rsidP="00601CAB">
            <w:pPr>
              <w:rPr>
                <w:rFonts w:ascii="Arial" w:hAnsi="Arial" w:cs="Arial"/>
                <w:b/>
              </w:rPr>
            </w:pPr>
            <w:r w:rsidRPr="008A3BFD">
              <w:rPr>
                <w:rFonts w:ascii="Arial" w:hAnsi="Arial" w:cs="Arial"/>
                <w:b/>
              </w:rPr>
              <w:t>Net Surplus/(Deficit)</w:t>
            </w:r>
          </w:p>
        </w:tc>
        <w:tc>
          <w:tcPr>
            <w:tcW w:w="1079" w:type="dxa"/>
            <w:tcBorders>
              <w:top w:val="nil"/>
              <w:left w:val="nil"/>
              <w:bottom w:val="single" w:sz="4" w:space="0" w:color="auto"/>
              <w:right w:val="single" w:sz="4" w:space="0" w:color="auto"/>
            </w:tcBorders>
            <w:shd w:val="clear" w:color="auto" w:fill="auto"/>
            <w:vAlign w:val="center"/>
          </w:tcPr>
          <w:p w:rsidR="008A3BFD" w:rsidRPr="008A3BFD" w:rsidRDefault="008A3BFD" w:rsidP="00601CAB">
            <w:pPr>
              <w:jc w:val="right"/>
              <w:rPr>
                <w:rFonts w:ascii="Arial" w:hAnsi="Arial" w:cs="Arial"/>
                <w:b/>
              </w:rPr>
            </w:pPr>
            <w:r w:rsidRPr="008A3BFD">
              <w:rPr>
                <w:rFonts w:ascii="Arial" w:hAnsi="Arial" w:cs="Arial"/>
                <w:b/>
              </w:rPr>
              <w:t>4,437</w:t>
            </w:r>
          </w:p>
        </w:tc>
        <w:tc>
          <w:tcPr>
            <w:tcW w:w="1079" w:type="dxa"/>
            <w:tcBorders>
              <w:top w:val="nil"/>
              <w:left w:val="nil"/>
              <w:bottom w:val="single" w:sz="4" w:space="0" w:color="auto"/>
              <w:right w:val="single" w:sz="4" w:space="0" w:color="auto"/>
            </w:tcBorders>
            <w:shd w:val="clear" w:color="auto" w:fill="auto"/>
            <w:vAlign w:val="center"/>
          </w:tcPr>
          <w:p w:rsidR="008A3BFD" w:rsidRPr="008A3BFD" w:rsidRDefault="008A3BFD" w:rsidP="00601CAB">
            <w:pPr>
              <w:jc w:val="right"/>
              <w:rPr>
                <w:rFonts w:ascii="Arial" w:hAnsi="Arial" w:cs="Arial"/>
                <w:b/>
              </w:rPr>
            </w:pPr>
            <w:r w:rsidRPr="008A3BFD">
              <w:rPr>
                <w:rFonts w:ascii="Arial" w:hAnsi="Arial" w:cs="Arial"/>
                <w:b/>
              </w:rPr>
              <w:t>123</w:t>
            </w:r>
          </w:p>
        </w:tc>
        <w:tc>
          <w:tcPr>
            <w:tcW w:w="1079" w:type="dxa"/>
            <w:tcBorders>
              <w:top w:val="nil"/>
              <w:left w:val="nil"/>
              <w:bottom w:val="single" w:sz="4" w:space="0" w:color="auto"/>
              <w:right w:val="single" w:sz="4" w:space="0" w:color="auto"/>
            </w:tcBorders>
            <w:shd w:val="clear" w:color="auto" w:fill="auto"/>
            <w:vAlign w:val="center"/>
          </w:tcPr>
          <w:p w:rsidR="008A3BFD" w:rsidRPr="008A3BFD" w:rsidRDefault="008A3BFD" w:rsidP="00601CAB">
            <w:pPr>
              <w:jc w:val="right"/>
              <w:rPr>
                <w:rFonts w:ascii="Arial" w:hAnsi="Arial" w:cs="Arial"/>
                <w:b/>
              </w:rPr>
            </w:pPr>
            <w:r w:rsidRPr="008A3BFD">
              <w:rPr>
                <w:rFonts w:ascii="Arial" w:hAnsi="Arial" w:cs="Arial"/>
                <w:b/>
              </w:rPr>
              <w:t>-708</w:t>
            </w:r>
          </w:p>
        </w:tc>
        <w:tc>
          <w:tcPr>
            <w:tcW w:w="1079" w:type="dxa"/>
            <w:tcBorders>
              <w:top w:val="nil"/>
              <w:left w:val="nil"/>
              <w:bottom w:val="single" w:sz="4" w:space="0" w:color="auto"/>
              <w:right w:val="single" w:sz="4" w:space="0" w:color="auto"/>
            </w:tcBorders>
            <w:shd w:val="clear" w:color="auto" w:fill="auto"/>
            <w:vAlign w:val="center"/>
          </w:tcPr>
          <w:p w:rsidR="008A3BFD" w:rsidRPr="008A3BFD" w:rsidRDefault="008A3BFD" w:rsidP="00601CAB">
            <w:pPr>
              <w:jc w:val="right"/>
              <w:rPr>
                <w:rFonts w:ascii="Arial" w:hAnsi="Arial" w:cs="Arial"/>
                <w:b/>
              </w:rPr>
            </w:pPr>
            <w:r w:rsidRPr="008A3BFD">
              <w:rPr>
                <w:rFonts w:ascii="Arial" w:hAnsi="Arial" w:cs="Arial"/>
                <w:b/>
              </w:rPr>
              <w:t>-1,867</w:t>
            </w:r>
          </w:p>
        </w:tc>
        <w:tc>
          <w:tcPr>
            <w:tcW w:w="1079" w:type="dxa"/>
            <w:tcBorders>
              <w:top w:val="nil"/>
              <w:left w:val="nil"/>
              <w:bottom w:val="single" w:sz="4" w:space="0" w:color="auto"/>
              <w:right w:val="single" w:sz="4" w:space="0" w:color="auto"/>
            </w:tcBorders>
            <w:shd w:val="clear" w:color="auto" w:fill="auto"/>
            <w:vAlign w:val="center"/>
          </w:tcPr>
          <w:p w:rsidR="008A3BFD" w:rsidRPr="008A3BFD" w:rsidRDefault="008A3BFD" w:rsidP="00601CAB">
            <w:pPr>
              <w:jc w:val="right"/>
              <w:rPr>
                <w:rFonts w:ascii="Arial" w:hAnsi="Arial" w:cs="Arial"/>
                <w:b/>
              </w:rPr>
            </w:pPr>
            <w:r w:rsidRPr="008A3BFD">
              <w:rPr>
                <w:rFonts w:ascii="Arial" w:hAnsi="Arial" w:cs="Arial"/>
                <w:b/>
              </w:rPr>
              <w:t>-2,499</w:t>
            </w:r>
          </w:p>
        </w:tc>
        <w:tc>
          <w:tcPr>
            <w:tcW w:w="1079" w:type="dxa"/>
            <w:tcBorders>
              <w:top w:val="nil"/>
              <w:left w:val="nil"/>
              <w:bottom w:val="single" w:sz="4" w:space="0" w:color="auto"/>
              <w:right w:val="single" w:sz="4" w:space="0" w:color="auto"/>
            </w:tcBorders>
            <w:shd w:val="clear" w:color="auto" w:fill="EEECE1" w:themeFill="background2"/>
            <w:vAlign w:val="center"/>
          </w:tcPr>
          <w:p w:rsidR="008A3BFD" w:rsidRPr="008A3BFD" w:rsidRDefault="008A3BFD" w:rsidP="00601CAB">
            <w:pPr>
              <w:jc w:val="right"/>
              <w:rPr>
                <w:rFonts w:ascii="Arial" w:hAnsi="Arial" w:cs="Arial"/>
                <w:b/>
              </w:rPr>
            </w:pPr>
            <w:r w:rsidRPr="008A3BFD">
              <w:rPr>
                <w:rFonts w:ascii="Arial" w:hAnsi="Arial" w:cs="Arial"/>
                <w:b/>
              </w:rPr>
              <w:t>-2,725</w:t>
            </w:r>
          </w:p>
        </w:tc>
        <w:tc>
          <w:tcPr>
            <w:tcW w:w="1079" w:type="dxa"/>
            <w:tcBorders>
              <w:top w:val="nil"/>
              <w:left w:val="nil"/>
              <w:bottom w:val="single" w:sz="4" w:space="0" w:color="auto"/>
              <w:right w:val="single" w:sz="4" w:space="0" w:color="auto"/>
            </w:tcBorders>
            <w:shd w:val="clear" w:color="auto" w:fill="EEECE1" w:themeFill="background2"/>
            <w:vAlign w:val="center"/>
          </w:tcPr>
          <w:p w:rsidR="008A3BFD" w:rsidRPr="008A3BFD" w:rsidRDefault="008A3BFD" w:rsidP="00601CAB">
            <w:pPr>
              <w:jc w:val="right"/>
              <w:rPr>
                <w:rFonts w:ascii="Arial" w:hAnsi="Arial" w:cs="Arial"/>
                <w:b/>
              </w:rPr>
            </w:pPr>
            <w:r w:rsidRPr="008A3BFD">
              <w:rPr>
                <w:rFonts w:ascii="Arial" w:hAnsi="Arial" w:cs="Arial"/>
                <w:b/>
              </w:rPr>
              <w:t>-3,166</w:t>
            </w:r>
          </w:p>
        </w:tc>
      </w:tr>
    </w:tbl>
    <w:p w:rsidR="008E191A" w:rsidRDefault="008E191A" w:rsidP="0099324F">
      <w:pPr>
        <w:spacing w:after="120"/>
      </w:pPr>
    </w:p>
    <w:p w:rsidR="008E191A" w:rsidRDefault="008E191A" w:rsidP="0099324F">
      <w:pPr>
        <w:spacing w:after="120"/>
        <w:sectPr w:rsidR="008E191A" w:rsidSect="009D19B1">
          <w:headerReference w:type="first" r:id="rId20"/>
          <w:pgSz w:w="11907" w:h="16840" w:code="9"/>
          <w:pgMar w:top="1134" w:right="567" w:bottom="1134" w:left="1134" w:header="720" w:footer="397" w:gutter="284"/>
          <w:pgNumType w:start="23"/>
          <w:cols w:space="720"/>
          <w:titlePg/>
          <w:docGrid w:linePitch="272"/>
        </w:sectPr>
      </w:pPr>
    </w:p>
    <w:tbl>
      <w:tblPr>
        <w:tblW w:w="9923" w:type="dxa"/>
        <w:tblInd w:w="108" w:type="dxa"/>
        <w:tblLayout w:type="fixed"/>
        <w:tblLook w:val="04A0" w:firstRow="1" w:lastRow="0" w:firstColumn="1" w:lastColumn="0" w:noHBand="0" w:noVBand="1"/>
      </w:tblPr>
      <w:tblGrid>
        <w:gridCol w:w="2268"/>
        <w:gridCol w:w="91"/>
        <w:gridCol w:w="968"/>
        <w:gridCol w:w="72"/>
        <w:gridCol w:w="980"/>
        <w:gridCol w:w="60"/>
        <w:gridCol w:w="992"/>
        <w:gridCol w:w="49"/>
        <w:gridCol w:w="1003"/>
        <w:gridCol w:w="38"/>
        <w:gridCol w:w="1014"/>
        <w:gridCol w:w="27"/>
        <w:gridCol w:w="1025"/>
        <w:gridCol w:w="16"/>
        <w:gridCol w:w="1036"/>
        <w:gridCol w:w="284"/>
      </w:tblGrid>
      <w:tr w:rsidR="003A4342" w:rsidRPr="003A4342" w:rsidTr="00BF4EB0">
        <w:trPr>
          <w:gridAfter w:val="1"/>
          <w:wAfter w:w="284" w:type="dxa"/>
          <w:trHeight w:val="300"/>
        </w:trPr>
        <w:tc>
          <w:tcPr>
            <w:tcW w:w="9639" w:type="dxa"/>
            <w:gridSpan w:val="15"/>
            <w:tcBorders>
              <w:top w:val="nil"/>
              <w:left w:val="nil"/>
              <w:bottom w:val="nil"/>
              <w:right w:val="nil"/>
            </w:tcBorders>
            <w:shd w:val="clear" w:color="auto" w:fill="auto"/>
            <w:noWrap/>
            <w:vAlign w:val="bottom"/>
            <w:hideMark/>
          </w:tcPr>
          <w:p w:rsidR="003A4342" w:rsidRPr="003A4342" w:rsidRDefault="003A4342" w:rsidP="003A4342">
            <w:pPr>
              <w:jc w:val="center"/>
              <w:rPr>
                <w:rFonts w:ascii="Arial" w:hAnsi="Arial" w:cs="Arial"/>
                <w:b/>
                <w:bCs/>
                <w:sz w:val="24"/>
                <w:szCs w:val="24"/>
              </w:rPr>
            </w:pPr>
            <w:bookmarkStart w:id="58" w:name="RANGE!A1:S50"/>
            <w:bookmarkEnd w:id="58"/>
            <w:r w:rsidRPr="003A4342">
              <w:rPr>
                <w:rFonts w:ascii="Arial" w:hAnsi="Arial" w:cs="Arial"/>
                <w:b/>
                <w:bCs/>
                <w:sz w:val="24"/>
                <w:szCs w:val="24"/>
              </w:rPr>
              <w:t>STATE FIRE COMMISSION</w:t>
            </w:r>
          </w:p>
        </w:tc>
      </w:tr>
      <w:tr w:rsidR="003A4342" w:rsidRPr="003A4342" w:rsidTr="00BF4EB0">
        <w:trPr>
          <w:gridAfter w:val="1"/>
          <w:wAfter w:w="284" w:type="dxa"/>
          <w:trHeight w:val="300"/>
        </w:trPr>
        <w:tc>
          <w:tcPr>
            <w:tcW w:w="9639" w:type="dxa"/>
            <w:gridSpan w:val="15"/>
            <w:tcBorders>
              <w:top w:val="nil"/>
              <w:left w:val="nil"/>
              <w:bottom w:val="nil"/>
              <w:right w:val="nil"/>
            </w:tcBorders>
            <w:shd w:val="clear" w:color="auto" w:fill="auto"/>
            <w:noWrap/>
            <w:vAlign w:val="bottom"/>
            <w:hideMark/>
          </w:tcPr>
          <w:p w:rsidR="003A4342" w:rsidRPr="003A4342" w:rsidRDefault="003A4342" w:rsidP="003A4342">
            <w:pPr>
              <w:spacing w:after="120"/>
              <w:jc w:val="center"/>
              <w:rPr>
                <w:rFonts w:ascii="Arial" w:hAnsi="Arial" w:cs="Arial"/>
                <w:b/>
                <w:bCs/>
              </w:rPr>
            </w:pPr>
            <w:r w:rsidRPr="003A4342">
              <w:rPr>
                <w:rFonts w:ascii="Arial" w:hAnsi="Arial" w:cs="Arial"/>
                <w:b/>
                <w:bCs/>
              </w:rPr>
              <w:t>FINANCIAL PLAN - BALANCE SHEET</w:t>
            </w:r>
          </w:p>
        </w:tc>
      </w:tr>
      <w:tr w:rsidR="003A4342" w:rsidRPr="003A4342" w:rsidTr="00BF4EB0">
        <w:trPr>
          <w:gridAfter w:val="1"/>
          <w:wAfter w:w="284" w:type="dxa"/>
          <w:trHeight w:val="525"/>
        </w:trPr>
        <w:tc>
          <w:tcPr>
            <w:tcW w:w="2268" w:type="dxa"/>
            <w:tcBorders>
              <w:top w:val="nil"/>
              <w:left w:val="nil"/>
              <w:bottom w:val="nil"/>
              <w:right w:val="single" w:sz="4" w:space="0" w:color="auto"/>
            </w:tcBorders>
            <w:shd w:val="clear" w:color="auto" w:fill="auto"/>
            <w:noWrap/>
            <w:vAlign w:val="bottom"/>
            <w:hideMark/>
          </w:tcPr>
          <w:p w:rsidR="003A4342" w:rsidRPr="003A4342" w:rsidRDefault="003A4342" w:rsidP="003A4342">
            <w:pPr>
              <w:rPr>
                <w:rFonts w:ascii="Arial" w:hAnsi="Arial" w:cs="Arial"/>
              </w:rPr>
            </w:pPr>
          </w:p>
        </w:tc>
        <w:tc>
          <w:tcPr>
            <w:tcW w:w="1059" w:type="dxa"/>
            <w:gridSpan w:val="2"/>
            <w:tcBorders>
              <w:top w:val="single" w:sz="4" w:space="0" w:color="auto"/>
              <w:left w:val="single" w:sz="4" w:space="0" w:color="auto"/>
              <w:bottom w:val="nil"/>
              <w:right w:val="single" w:sz="4" w:space="0" w:color="auto"/>
            </w:tcBorders>
            <w:shd w:val="clear" w:color="auto" w:fill="auto"/>
            <w:vAlign w:val="bottom"/>
            <w:hideMark/>
          </w:tcPr>
          <w:p w:rsidR="003A4342" w:rsidRPr="003A4342" w:rsidRDefault="003A4342" w:rsidP="003A4342">
            <w:pPr>
              <w:jc w:val="center"/>
              <w:rPr>
                <w:rFonts w:ascii="Arial" w:hAnsi="Arial" w:cs="Arial"/>
                <w:b/>
                <w:bCs/>
              </w:rPr>
            </w:pPr>
            <w:r w:rsidRPr="003A4342">
              <w:rPr>
                <w:rFonts w:ascii="Arial" w:hAnsi="Arial" w:cs="Arial"/>
                <w:b/>
                <w:bCs/>
              </w:rPr>
              <w:t>Actual</w:t>
            </w:r>
          </w:p>
        </w:tc>
        <w:tc>
          <w:tcPr>
            <w:tcW w:w="1052" w:type="dxa"/>
            <w:gridSpan w:val="2"/>
            <w:tcBorders>
              <w:top w:val="single" w:sz="4" w:space="0" w:color="auto"/>
              <w:left w:val="nil"/>
              <w:bottom w:val="nil"/>
              <w:right w:val="single" w:sz="4" w:space="0" w:color="auto"/>
            </w:tcBorders>
            <w:shd w:val="clear" w:color="auto" w:fill="auto"/>
            <w:vAlign w:val="bottom"/>
            <w:hideMark/>
          </w:tcPr>
          <w:p w:rsidR="003A4342" w:rsidRPr="003A4342" w:rsidRDefault="003A4342" w:rsidP="003A4342">
            <w:pPr>
              <w:jc w:val="center"/>
              <w:rPr>
                <w:rFonts w:ascii="Arial" w:hAnsi="Arial" w:cs="Arial"/>
                <w:b/>
                <w:bCs/>
              </w:rPr>
            </w:pPr>
            <w:r w:rsidRPr="003A4342">
              <w:rPr>
                <w:rFonts w:ascii="Arial" w:hAnsi="Arial" w:cs="Arial"/>
                <w:b/>
                <w:bCs/>
              </w:rPr>
              <w:t>Base</w:t>
            </w:r>
          </w:p>
        </w:tc>
        <w:tc>
          <w:tcPr>
            <w:tcW w:w="1052" w:type="dxa"/>
            <w:gridSpan w:val="2"/>
            <w:tcBorders>
              <w:top w:val="single" w:sz="4" w:space="0" w:color="auto"/>
              <w:left w:val="nil"/>
              <w:bottom w:val="nil"/>
              <w:right w:val="single" w:sz="4" w:space="0" w:color="auto"/>
            </w:tcBorders>
            <w:shd w:val="clear" w:color="auto" w:fill="auto"/>
            <w:vAlign w:val="bottom"/>
            <w:hideMark/>
          </w:tcPr>
          <w:p w:rsidR="003A4342" w:rsidRPr="003A4342" w:rsidRDefault="003A4342" w:rsidP="003A4342">
            <w:pPr>
              <w:jc w:val="center"/>
              <w:rPr>
                <w:rFonts w:ascii="Arial" w:hAnsi="Arial" w:cs="Arial"/>
                <w:b/>
                <w:bCs/>
              </w:rPr>
            </w:pPr>
            <w:r w:rsidRPr="003A4342">
              <w:rPr>
                <w:rFonts w:ascii="Arial" w:hAnsi="Arial" w:cs="Arial"/>
                <w:b/>
                <w:bCs/>
              </w:rPr>
              <w:t>Year 1</w:t>
            </w:r>
          </w:p>
        </w:tc>
        <w:tc>
          <w:tcPr>
            <w:tcW w:w="1052" w:type="dxa"/>
            <w:gridSpan w:val="2"/>
            <w:tcBorders>
              <w:top w:val="single" w:sz="4" w:space="0" w:color="auto"/>
              <w:left w:val="nil"/>
              <w:bottom w:val="nil"/>
              <w:right w:val="single" w:sz="4" w:space="0" w:color="auto"/>
            </w:tcBorders>
            <w:shd w:val="clear" w:color="auto" w:fill="auto"/>
            <w:vAlign w:val="bottom"/>
            <w:hideMark/>
          </w:tcPr>
          <w:p w:rsidR="003A4342" w:rsidRPr="003A4342" w:rsidRDefault="003A4342" w:rsidP="003A4342">
            <w:pPr>
              <w:jc w:val="center"/>
              <w:rPr>
                <w:rFonts w:ascii="Arial" w:hAnsi="Arial" w:cs="Arial"/>
                <w:b/>
                <w:bCs/>
              </w:rPr>
            </w:pPr>
            <w:r w:rsidRPr="003A4342">
              <w:rPr>
                <w:rFonts w:ascii="Arial" w:hAnsi="Arial" w:cs="Arial"/>
                <w:b/>
                <w:bCs/>
              </w:rPr>
              <w:t>Year 2</w:t>
            </w:r>
          </w:p>
        </w:tc>
        <w:tc>
          <w:tcPr>
            <w:tcW w:w="1052" w:type="dxa"/>
            <w:gridSpan w:val="2"/>
            <w:tcBorders>
              <w:top w:val="single" w:sz="4" w:space="0" w:color="auto"/>
              <w:left w:val="nil"/>
              <w:bottom w:val="nil"/>
              <w:right w:val="single" w:sz="4" w:space="0" w:color="auto"/>
            </w:tcBorders>
            <w:shd w:val="clear" w:color="auto" w:fill="auto"/>
            <w:vAlign w:val="bottom"/>
            <w:hideMark/>
          </w:tcPr>
          <w:p w:rsidR="003A4342" w:rsidRPr="003A4342" w:rsidRDefault="003A4342" w:rsidP="003A4342">
            <w:pPr>
              <w:jc w:val="center"/>
              <w:rPr>
                <w:rFonts w:ascii="Arial" w:hAnsi="Arial" w:cs="Arial"/>
                <w:b/>
                <w:bCs/>
              </w:rPr>
            </w:pPr>
            <w:r w:rsidRPr="003A4342">
              <w:rPr>
                <w:rFonts w:ascii="Arial" w:hAnsi="Arial" w:cs="Arial"/>
                <w:b/>
                <w:bCs/>
              </w:rPr>
              <w:t>Year 3</w:t>
            </w:r>
          </w:p>
        </w:tc>
        <w:tc>
          <w:tcPr>
            <w:tcW w:w="1052" w:type="dxa"/>
            <w:gridSpan w:val="2"/>
            <w:tcBorders>
              <w:top w:val="single" w:sz="4" w:space="0" w:color="auto"/>
              <w:left w:val="nil"/>
              <w:bottom w:val="nil"/>
              <w:right w:val="single" w:sz="4" w:space="0" w:color="auto"/>
            </w:tcBorders>
            <w:shd w:val="clear" w:color="auto" w:fill="EEECE1" w:themeFill="background2"/>
            <w:vAlign w:val="bottom"/>
            <w:hideMark/>
          </w:tcPr>
          <w:p w:rsidR="003A4342" w:rsidRPr="003A4342" w:rsidRDefault="003A4342" w:rsidP="003A4342">
            <w:pPr>
              <w:jc w:val="center"/>
              <w:rPr>
                <w:rFonts w:ascii="Arial" w:hAnsi="Arial" w:cs="Arial"/>
                <w:b/>
                <w:bCs/>
              </w:rPr>
            </w:pPr>
            <w:r w:rsidRPr="003A4342">
              <w:rPr>
                <w:rFonts w:ascii="Arial" w:hAnsi="Arial" w:cs="Arial"/>
                <w:b/>
                <w:bCs/>
              </w:rPr>
              <w:t>Year 4</w:t>
            </w:r>
          </w:p>
        </w:tc>
        <w:tc>
          <w:tcPr>
            <w:tcW w:w="1052" w:type="dxa"/>
            <w:gridSpan w:val="2"/>
            <w:tcBorders>
              <w:top w:val="single" w:sz="4" w:space="0" w:color="auto"/>
              <w:left w:val="nil"/>
              <w:bottom w:val="nil"/>
              <w:right w:val="single" w:sz="4" w:space="0" w:color="auto"/>
            </w:tcBorders>
            <w:shd w:val="clear" w:color="auto" w:fill="EEECE1" w:themeFill="background2"/>
            <w:vAlign w:val="bottom"/>
            <w:hideMark/>
          </w:tcPr>
          <w:p w:rsidR="003A4342" w:rsidRPr="003A4342" w:rsidRDefault="003A4342" w:rsidP="003A4342">
            <w:pPr>
              <w:jc w:val="center"/>
              <w:rPr>
                <w:rFonts w:ascii="Arial" w:hAnsi="Arial" w:cs="Arial"/>
                <w:b/>
                <w:bCs/>
              </w:rPr>
            </w:pPr>
            <w:r w:rsidRPr="003A4342">
              <w:rPr>
                <w:rFonts w:ascii="Arial" w:hAnsi="Arial" w:cs="Arial"/>
                <w:b/>
                <w:bCs/>
              </w:rPr>
              <w:t>Year 5</w:t>
            </w:r>
          </w:p>
        </w:tc>
      </w:tr>
      <w:tr w:rsidR="003A4342" w:rsidRPr="003A4342" w:rsidTr="00BF4EB0">
        <w:trPr>
          <w:gridAfter w:val="1"/>
          <w:wAfter w:w="284" w:type="dxa"/>
          <w:trHeight w:val="285"/>
        </w:trPr>
        <w:tc>
          <w:tcPr>
            <w:tcW w:w="2268" w:type="dxa"/>
            <w:tcBorders>
              <w:top w:val="nil"/>
              <w:left w:val="nil"/>
              <w:bottom w:val="nil"/>
              <w:right w:val="single" w:sz="4" w:space="0" w:color="auto"/>
            </w:tcBorders>
            <w:shd w:val="clear" w:color="auto" w:fill="auto"/>
            <w:noWrap/>
            <w:vAlign w:val="bottom"/>
            <w:hideMark/>
          </w:tcPr>
          <w:p w:rsidR="003A4342" w:rsidRPr="003A4342" w:rsidRDefault="003A4342" w:rsidP="003A4342">
            <w:pPr>
              <w:rPr>
                <w:rFonts w:ascii="Arial" w:hAnsi="Arial" w:cs="Arial"/>
              </w:rPr>
            </w:pPr>
          </w:p>
        </w:tc>
        <w:tc>
          <w:tcPr>
            <w:tcW w:w="1059" w:type="dxa"/>
            <w:gridSpan w:val="2"/>
            <w:tcBorders>
              <w:top w:val="nil"/>
              <w:left w:val="single" w:sz="4" w:space="0" w:color="auto"/>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2009-10</w:t>
            </w:r>
          </w:p>
        </w:tc>
        <w:tc>
          <w:tcPr>
            <w:tcW w:w="1052" w:type="dxa"/>
            <w:gridSpan w:val="2"/>
            <w:tcBorders>
              <w:top w:val="nil"/>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2010-11</w:t>
            </w:r>
          </w:p>
        </w:tc>
        <w:tc>
          <w:tcPr>
            <w:tcW w:w="1052" w:type="dxa"/>
            <w:gridSpan w:val="2"/>
            <w:tcBorders>
              <w:top w:val="nil"/>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2011-12</w:t>
            </w:r>
          </w:p>
        </w:tc>
        <w:tc>
          <w:tcPr>
            <w:tcW w:w="1052" w:type="dxa"/>
            <w:gridSpan w:val="2"/>
            <w:tcBorders>
              <w:top w:val="nil"/>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2012-13</w:t>
            </w:r>
          </w:p>
        </w:tc>
        <w:tc>
          <w:tcPr>
            <w:tcW w:w="1052" w:type="dxa"/>
            <w:gridSpan w:val="2"/>
            <w:tcBorders>
              <w:top w:val="nil"/>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2013-14</w:t>
            </w:r>
          </w:p>
        </w:tc>
        <w:tc>
          <w:tcPr>
            <w:tcW w:w="1052" w:type="dxa"/>
            <w:gridSpan w:val="2"/>
            <w:tcBorders>
              <w:top w:val="nil"/>
              <w:left w:val="nil"/>
              <w:bottom w:val="nil"/>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2014-15</w:t>
            </w:r>
          </w:p>
        </w:tc>
        <w:tc>
          <w:tcPr>
            <w:tcW w:w="1052" w:type="dxa"/>
            <w:gridSpan w:val="2"/>
            <w:tcBorders>
              <w:top w:val="nil"/>
              <w:left w:val="nil"/>
              <w:bottom w:val="nil"/>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2015-16</w:t>
            </w:r>
          </w:p>
        </w:tc>
      </w:tr>
      <w:tr w:rsidR="003A4342" w:rsidRPr="003A4342" w:rsidTr="00BF4EB0">
        <w:trPr>
          <w:gridAfter w:val="1"/>
          <w:wAfter w:w="284" w:type="dxa"/>
          <w:trHeight w:val="300"/>
        </w:trPr>
        <w:tc>
          <w:tcPr>
            <w:tcW w:w="2268" w:type="dxa"/>
            <w:tcBorders>
              <w:top w:val="nil"/>
              <w:left w:val="nil"/>
              <w:bottom w:val="nil"/>
              <w:right w:val="single" w:sz="4" w:space="0" w:color="auto"/>
            </w:tcBorders>
            <w:shd w:val="clear" w:color="auto" w:fill="auto"/>
            <w:noWrap/>
            <w:vAlign w:val="bottom"/>
            <w:hideMark/>
          </w:tcPr>
          <w:p w:rsidR="003A4342" w:rsidRPr="003A4342" w:rsidRDefault="003A4342" w:rsidP="003A4342">
            <w:pPr>
              <w:rPr>
                <w:rFonts w:ascii="Arial" w:hAnsi="Arial" w:cs="Arial"/>
              </w:rPr>
            </w:pPr>
          </w:p>
        </w:tc>
        <w:tc>
          <w:tcPr>
            <w:tcW w:w="10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52"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52"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52"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52"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52"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52"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r>
      <w:tr w:rsidR="003A4342" w:rsidRPr="003A4342" w:rsidTr="00BF4EB0">
        <w:trPr>
          <w:gridAfter w:val="1"/>
          <w:wAfter w:w="284" w:type="dxa"/>
          <w:trHeight w:val="25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4342" w:rsidRPr="00416A40" w:rsidRDefault="003A4342" w:rsidP="003A4342">
            <w:pPr>
              <w:rPr>
                <w:rFonts w:ascii="Arial" w:hAnsi="Arial" w:cs="Arial"/>
                <w:b/>
                <w:bCs/>
                <w:sz w:val="18"/>
                <w:szCs w:val="18"/>
              </w:rPr>
            </w:pPr>
            <w:r w:rsidRPr="00416A40">
              <w:rPr>
                <w:rFonts w:ascii="Arial" w:hAnsi="Arial" w:cs="Arial"/>
                <w:b/>
                <w:bCs/>
                <w:sz w:val="18"/>
                <w:szCs w:val="18"/>
              </w:rPr>
              <w:t>CURRENT ASSETS</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color w:val="FFFFFF"/>
              </w:rPr>
            </w:pPr>
            <w:r w:rsidRPr="003A4342">
              <w:rPr>
                <w:rFonts w:ascii="Arial" w:hAnsi="Arial" w:cs="Arial"/>
                <w:b/>
                <w:bCs/>
                <w:color w:val="FFFFFF"/>
              </w:rPr>
              <w:t>1</w:t>
            </w:r>
          </w:p>
        </w:tc>
        <w:tc>
          <w:tcPr>
            <w:tcW w:w="1052"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color w:val="FFFFFF"/>
              </w:rPr>
            </w:pPr>
            <w:r w:rsidRPr="003A4342">
              <w:rPr>
                <w:rFonts w:ascii="Arial" w:hAnsi="Arial" w:cs="Arial"/>
                <w:b/>
                <w:bCs/>
                <w:color w:val="FFFFFF"/>
              </w:rPr>
              <w:t>1</w:t>
            </w:r>
          </w:p>
        </w:tc>
        <w:tc>
          <w:tcPr>
            <w:tcW w:w="1052"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C23EF6" w:rsidP="003A4342">
            <w:pPr>
              <w:jc w:val="center"/>
              <w:rPr>
                <w:rFonts w:ascii="Arial" w:hAnsi="Arial" w:cs="Arial"/>
                <w:b/>
                <w:bCs/>
                <w:color w:val="FFFFFF"/>
              </w:rPr>
            </w:pPr>
            <w:r>
              <w:rPr>
                <w:rFonts w:ascii="Arial" w:hAnsi="Arial" w:cs="Arial"/>
                <w:b/>
                <w:bCs/>
                <w:color w:val="FFFFFF"/>
              </w:rPr>
              <w:t xml:space="preserve"> </w:t>
            </w:r>
          </w:p>
        </w:tc>
        <w:tc>
          <w:tcPr>
            <w:tcW w:w="1052"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C23EF6" w:rsidP="003A4342">
            <w:pPr>
              <w:jc w:val="center"/>
              <w:rPr>
                <w:rFonts w:ascii="Arial" w:hAnsi="Arial" w:cs="Arial"/>
                <w:b/>
                <w:bCs/>
                <w:color w:val="FFFFFF"/>
              </w:rPr>
            </w:pPr>
            <w:r>
              <w:rPr>
                <w:rFonts w:ascii="Arial" w:hAnsi="Arial" w:cs="Arial"/>
                <w:b/>
                <w:bCs/>
                <w:color w:val="FFFFFF"/>
              </w:rPr>
              <w:t xml:space="preserve"> </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xml:space="preserve">Investments </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0</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0</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0</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Inventories</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1,672</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2,452</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1,700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1,800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1,950</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2,171</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2,281</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Receivables</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1,960</w:t>
            </w:r>
          </w:p>
        </w:tc>
        <w:tc>
          <w:tcPr>
            <w:tcW w:w="1052" w:type="dxa"/>
            <w:gridSpan w:val="2"/>
            <w:tcBorders>
              <w:top w:val="nil"/>
              <w:left w:val="nil"/>
              <w:bottom w:val="nil"/>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1,919</w:t>
            </w:r>
          </w:p>
        </w:tc>
        <w:tc>
          <w:tcPr>
            <w:tcW w:w="1052" w:type="dxa"/>
            <w:gridSpan w:val="2"/>
            <w:tcBorders>
              <w:top w:val="nil"/>
              <w:left w:val="nil"/>
              <w:bottom w:val="nil"/>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1,960</w:t>
            </w:r>
          </w:p>
        </w:tc>
        <w:tc>
          <w:tcPr>
            <w:tcW w:w="1052" w:type="dxa"/>
            <w:gridSpan w:val="2"/>
            <w:tcBorders>
              <w:top w:val="nil"/>
              <w:left w:val="nil"/>
              <w:bottom w:val="nil"/>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2,050</w:t>
            </w:r>
          </w:p>
        </w:tc>
        <w:tc>
          <w:tcPr>
            <w:tcW w:w="1052" w:type="dxa"/>
            <w:gridSpan w:val="2"/>
            <w:tcBorders>
              <w:top w:val="nil"/>
              <w:left w:val="nil"/>
              <w:bottom w:val="nil"/>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2,050</w:t>
            </w:r>
          </w:p>
        </w:tc>
        <w:tc>
          <w:tcPr>
            <w:tcW w:w="1052" w:type="dxa"/>
            <w:gridSpan w:val="2"/>
            <w:tcBorders>
              <w:top w:val="nil"/>
              <w:left w:val="nil"/>
              <w:bottom w:val="nil"/>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2,250</w:t>
            </w:r>
          </w:p>
        </w:tc>
        <w:tc>
          <w:tcPr>
            <w:tcW w:w="1052" w:type="dxa"/>
            <w:gridSpan w:val="2"/>
            <w:tcBorders>
              <w:top w:val="nil"/>
              <w:left w:val="nil"/>
              <w:bottom w:val="nil"/>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2,260</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Cash Assets</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8,938</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6,628</w:t>
            </w:r>
          </w:p>
        </w:tc>
        <w:tc>
          <w:tcPr>
            <w:tcW w:w="1052" w:type="dxa"/>
            <w:gridSpan w:val="2"/>
            <w:tcBorders>
              <w:top w:val="single" w:sz="4" w:space="0" w:color="7F7F7F"/>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8,087</w:t>
            </w:r>
          </w:p>
        </w:tc>
        <w:tc>
          <w:tcPr>
            <w:tcW w:w="1052" w:type="dxa"/>
            <w:gridSpan w:val="2"/>
            <w:tcBorders>
              <w:top w:val="single" w:sz="4" w:space="0" w:color="7F7F7F"/>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6,628</w:t>
            </w:r>
          </w:p>
        </w:tc>
        <w:tc>
          <w:tcPr>
            <w:tcW w:w="1052" w:type="dxa"/>
            <w:gridSpan w:val="2"/>
            <w:tcBorders>
              <w:top w:val="single" w:sz="4" w:space="0" w:color="7F7F7F"/>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4,867</w:t>
            </w:r>
          </w:p>
        </w:tc>
        <w:tc>
          <w:tcPr>
            <w:tcW w:w="1052" w:type="dxa"/>
            <w:gridSpan w:val="2"/>
            <w:tcBorders>
              <w:top w:val="single" w:sz="4" w:space="0" w:color="7F7F7F"/>
              <w:left w:val="nil"/>
              <w:bottom w:val="single" w:sz="4" w:space="0" w:color="7F7F7F"/>
              <w:right w:val="single" w:sz="4" w:space="0" w:color="7F7F7F"/>
            </w:tcBorders>
            <w:shd w:val="clear" w:color="auto" w:fill="EEECE1" w:themeFill="background2"/>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2,464</w:t>
            </w:r>
          </w:p>
        </w:tc>
        <w:tc>
          <w:tcPr>
            <w:tcW w:w="1052" w:type="dxa"/>
            <w:gridSpan w:val="2"/>
            <w:tcBorders>
              <w:top w:val="single" w:sz="4" w:space="0" w:color="7F7F7F"/>
              <w:left w:val="nil"/>
              <w:bottom w:val="single" w:sz="4" w:space="0" w:color="7F7F7F"/>
              <w:right w:val="single" w:sz="4" w:space="0" w:color="7F7F7F"/>
            </w:tcBorders>
            <w:shd w:val="clear" w:color="auto" w:fill="EEECE1" w:themeFill="background2"/>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43</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Other Assets</w:t>
            </w:r>
          </w:p>
        </w:tc>
        <w:tc>
          <w:tcPr>
            <w:tcW w:w="1059" w:type="dxa"/>
            <w:gridSpan w:val="2"/>
            <w:tcBorders>
              <w:top w:val="single" w:sz="4" w:space="0" w:color="7F7F7F"/>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2,886</w:t>
            </w:r>
          </w:p>
        </w:tc>
        <w:tc>
          <w:tcPr>
            <w:tcW w:w="1052" w:type="dxa"/>
            <w:gridSpan w:val="2"/>
            <w:tcBorders>
              <w:top w:val="single" w:sz="4" w:space="0" w:color="7F7F7F"/>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1,760</w:t>
            </w:r>
          </w:p>
        </w:tc>
        <w:tc>
          <w:tcPr>
            <w:tcW w:w="1052" w:type="dxa"/>
            <w:gridSpan w:val="2"/>
            <w:tcBorders>
              <w:top w:val="nil"/>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1,917</w:t>
            </w:r>
          </w:p>
        </w:tc>
        <w:tc>
          <w:tcPr>
            <w:tcW w:w="1052" w:type="dxa"/>
            <w:gridSpan w:val="2"/>
            <w:tcBorders>
              <w:top w:val="nil"/>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1,705</w:t>
            </w:r>
          </w:p>
        </w:tc>
        <w:tc>
          <w:tcPr>
            <w:tcW w:w="1052" w:type="dxa"/>
            <w:gridSpan w:val="2"/>
            <w:tcBorders>
              <w:top w:val="nil"/>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2,001</w:t>
            </w:r>
          </w:p>
        </w:tc>
        <w:tc>
          <w:tcPr>
            <w:tcW w:w="1052" w:type="dxa"/>
            <w:gridSpan w:val="2"/>
            <w:tcBorders>
              <w:top w:val="nil"/>
              <w:left w:val="nil"/>
              <w:bottom w:val="single" w:sz="4" w:space="0" w:color="7F7F7F"/>
              <w:right w:val="single" w:sz="4" w:space="0" w:color="7F7F7F"/>
            </w:tcBorders>
            <w:shd w:val="clear" w:color="auto" w:fill="EEECE1" w:themeFill="background2"/>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2,050</w:t>
            </w:r>
          </w:p>
        </w:tc>
        <w:tc>
          <w:tcPr>
            <w:tcW w:w="1052" w:type="dxa"/>
            <w:gridSpan w:val="2"/>
            <w:tcBorders>
              <w:top w:val="nil"/>
              <w:left w:val="nil"/>
              <w:bottom w:val="single" w:sz="4" w:space="0" w:color="7F7F7F"/>
              <w:right w:val="single" w:sz="4" w:space="0" w:color="7F7F7F"/>
            </w:tcBorders>
            <w:shd w:val="clear" w:color="auto" w:fill="EEECE1" w:themeFill="background2"/>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2,400</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Total Current Assets</w:t>
            </w:r>
          </w:p>
        </w:tc>
        <w:tc>
          <w:tcPr>
            <w:tcW w:w="1059"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15,456</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12,759</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13,664</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12,183</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10,868</w:t>
            </w:r>
          </w:p>
        </w:tc>
        <w:tc>
          <w:tcPr>
            <w:tcW w:w="1052" w:type="dxa"/>
            <w:gridSpan w:val="2"/>
            <w:tcBorders>
              <w:top w:val="single" w:sz="4" w:space="0" w:color="auto"/>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8,935</w:t>
            </w:r>
          </w:p>
        </w:tc>
        <w:tc>
          <w:tcPr>
            <w:tcW w:w="1052" w:type="dxa"/>
            <w:gridSpan w:val="2"/>
            <w:tcBorders>
              <w:top w:val="single" w:sz="4" w:space="0" w:color="auto"/>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6,984</w:t>
            </w:r>
          </w:p>
        </w:tc>
      </w:tr>
      <w:tr w:rsidR="009D19B1"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 </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p>
        </w:tc>
      </w:tr>
      <w:tr w:rsidR="00416A40" w:rsidRPr="003A4342" w:rsidTr="00BF4EB0">
        <w:trPr>
          <w:gridAfter w:val="1"/>
          <w:wAfter w:w="284" w:type="dxa"/>
          <w:trHeight w:val="259"/>
        </w:trPr>
        <w:tc>
          <w:tcPr>
            <w:tcW w:w="332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16A40" w:rsidRPr="003A4342" w:rsidRDefault="00416A40" w:rsidP="003A4342">
            <w:pPr>
              <w:rPr>
                <w:rFonts w:ascii="Arial" w:hAnsi="Arial" w:cs="Arial"/>
              </w:rPr>
            </w:pPr>
            <w:r w:rsidRPr="00416A40">
              <w:rPr>
                <w:rFonts w:ascii="Arial" w:hAnsi="Arial" w:cs="Arial"/>
                <w:b/>
                <w:bCs/>
                <w:sz w:val="18"/>
                <w:szCs w:val="18"/>
              </w:rPr>
              <w:t>NON-CURRENT ASSETS</w:t>
            </w:r>
          </w:p>
        </w:tc>
        <w:tc>
          <w:tcPr>
            <w:tcW w:w="105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6A40" w:rsidRPr="003A4342" w:rsidRDefault="00416A40" w:rsidP="003A4342">
            <w:pPr>
              <w:rPr>
                <w:rFonts w:ascii="Arial" w:hAnsi="Arial" w:cs="Arial"/>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6A40" w:rsidRPr="003A4342" w:rsidRDefault="00416A40" w:rsidP="003A4342">
            <w:pPr>
              <w:rPr>
                <w:rFonts w:ascii="Arial" w:hAnsi="Arial" w:cs="Arial"/>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6A40" w:rsidRPr="003A4342" w:rsidRDefault="00416A40" w:rsidP="003A4342">
            <w:pPr>
              <w:rPr>
                <w:rFonts w:ascii="Arial" w:hAnsi="Arial" w:cs="Arial"/>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6A40" w:rsidRPr="003A4342" w:rsidRDefault="00416A40" w:rsidP="003A4342">
            <w:pPr>
              <w:rPr>
                <w:rFonts w:ascii="Arial" w:hAnsi="Arial" w:cs="Arial"/>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416A40" w:rsidRPr="003A4342" w:rsidRDefault="00416A40" w:rsidP="003A4342">
            <w:pPr>
              <w:rPr>
                <w:rFonts w:ascii="Arial" w:hAnsi="Arial" w:cs="Arial"/>
              </w:rPr>
            </w:pPr>
          </w:p>
        </w:tc>
        <w:tc>
          <w:tcPr>
            <w:tcW w:w="1052" w:type="dxa"/>
            <w:gridSpan w:val="2"/>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416A40" w:rsidRPr="003A4342" w:rsidRDefault="00416A40" w:rsidP="003A4342">
            <w:pPr>
              <w:rPr>
                <w:rFonts w:ascii="Arial" w:hAnsi="Arial" w:cs="Arial"/>
              </w:rPr>
            </w:pPr>
          </w:p>
        </w:tc>
      </w:tr>
      <w:tr w:rsidR="003A4342" w:rsidRPr="003A4342" w:rsidTr="00BF4EB0">
        <w:trPr>
          <w:gridAfter w:val="1"/>
          <w:wAfter w:w="284" w:type="dxa"/>
          <w:trHeight w:val="259"/>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Work in Progress</w:t>
            </w:r>
          </w:p>
        </w:tc>
        <w:tc>
          <w:tcPr>
            <w:tcW w:w="1059" w:type="dxa"/>
            <w:gridSpan w:val="2"/>
            <w:tcBorders>
              <w:top w:val="single" w:sz="4" w:space="0" w:color="auto"/>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5,686</w:t>
            </w:r>
          </w:p>
        </w:tc>
        <w:tc>
          <w:tcPr>
            <w:tcW w:w="1052" w:type="dxa"/>
            <w:gridSpan w:val="2"/>
            <w:tcBorders>
              <w:top w:val="single" w:sz="4" w:space="0" w:color="auto"/>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4,343</w:t>
            </w:r>
          </w:p>
        </w:tc>
        <w:tc>
          <w:tcPr>
            <w:tcW w:w="1052" w:type="dxa"/>
            <w:gridSpan w:val="2"/>
            <w:tcBorders>
              <w:top w:val="single" w:sz="4" w:space="0" w:color="auto"/>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6,000</w:t>
            </w:r>
          </w:p>
        </w:tc>
        <w:tc>
          <w:tcPr>
            <w:tcW w:w="1052" w:type="dxa"/>
            <w:gridSpan w:val="2"/>
            <w:tcBorders>
              <w:top w:val="single" w:sz="4" w:space="0" w:color="auto"/>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6,100</w:t>
            </w:r>
          </w:p>
        </w:tc>
        <w:tc>
          <w:tcPr>
            <w:tcW w:w="1052" w:type="dxa"/>
            <w:gridSpan w:val="2"/>
            <w:tcBorders>
              <w:top w:val="single" w:sz="4" w:space="0" w:color="auto"/>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3,800</w:t>
            </w:r>
          </w:p>
        </w:tc>
        <w:tc>
          <w:tcPr>
            <w:tcW w:w="1052" w:type="dxa"/>
            <w:gridSpan w:val="2"/>
            <w:tcBorders>
              <w:top w:val="single" w:sz="4" w:space="0" w:color="auto"/>
              <w:left w:val="nil"/>
              <w:bottom w:val="single" w:sz="4" w:space="0" w:color="7F7F7F"/>
              <w:right w:val="single" w:sz="4" w:space="0" w:color="7F7F7F"/>
            </w:tcBorders>
            <w:shd w:val="clear" w:color="auto" w:fill="EEECE1" w:themeFill="background2"/>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3,700</w:t>
            </w:r>
          </w:p>
        </w:tc>
        <w:tc>
          <w:tcPr>
            <w:tcW w:w="1052" w:type="dxa"/>
            <w:gridSpan w:val="2"/>
            <w:tcBorders>
              <w:top w:val="single" w:sz="4" w:space="0" w:color="auto"/>
              <w:left w:val="nil"/>
              <w:bottom w:val="single" w:sz="4" w:space="0" w:color="7F7F7F"/>
              <w:right w:val="single" w:sz="4" w:space="0" w:color="7F7F7F"/>
            </w:tcBorders>
            <w:shd w:val="clear" w:color="auto" w:fill="EEECE1" w:themeFill="background2"/>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1,900</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Land &amp; Buildings</w:t>
            </w:r>
          </w:p>
        </w:tc>
        <w:tc>
          <w:tcPr>
            <w:tcW w:w="1059" w:type="dxa"/>
            <w:gridSpan w:val="2"/>
            <w:tcBorders>
              <w:top w:val="single" w:sz="4" w:space="0" w:color="7F7F7F"/>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52,888</w:t>
            </w:r>
          </w:p>
        </w:tc>
        <w:tc>
          <w:tcPr>
            <w:tcW w:w="1052" w:type="dxa"/>
            <w:gridSpan w:val="2"/>
            <w:tcBorders>
              <w:top w:val="single" w:sz="4" w:space="0" w:color="7F7F7F"/>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51,457</w:t>
            </w:r>
          </w:p>
        </w:tc>
        <w:tc>
          <w:tcPr>
            <w:tcW w:w="1052" w:type="dxa"/>
            <w:gridSpan w:val="2"/>
            <w:tcBorders>
              <w:top w:val="single" w:sz="4" w:space="0" w:color="7F7F7F"/>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52,513</w:t>
            </w:r>
          </w:p>
        </w:tc>
        <w:tc>
          <w:tcPr>
            <w:tcW w:w="1052" w:type="dxa"/>
            <w:gridSpan w:val="2"/>
            <w:tcBorders>
              <w:top w:val="single" w:sz="4" w:space="0" w:color="7F7F7F"/>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52,339</w:t>
            </w:r>
          </w:p>
        </w:tc>
        <w:tc>
          <w:tcPr>
            <w:tcW w:w="1052" w:type="dxa"/>
            <w:gridSpan w:val="2"/>
            <w:tcBorders>
              <w:top w:val="single" w:sz="4" w:space="0" w:color="7F7F7F"/>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52,125</w:t>
            </w:r>
          </w:p>
        </w:tc>
        <w:tc>
          <w:tcPr>
            <w:tcW w:w="1052" w:type="dxa"/>
            <w:gridSpan w:val="2"/>
            <w:tcBorders>
              <w:top w:val="single" w:sz="4" w:space="0" w:color="7F7F7F"/>
              <w:left w:val="nil"/>
              <w:bottom w:val="single" w:sz="4" w:space="0" w:color="7F7F7F"/>
              <w:right w:val="single" w:sz="4" w:space="0" w:color="7F7F7F"/>
            </w:tcBorders>
            <w:shd w:val="clear" w:color="auto" w:fill="EEECE1" w:themeFill="background2"/>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52,347</w:t>
            </w:r>
          </w:p>
        </w:tc>
        <w:tc>
          <w:tcPr>
            <w:tcW w:w="1052" w:type="dxa"/>
            <w:gridSpan w:val="2"/>
            <w:tcBorders>
              <w:top w:val="single" w:sz="4" w:space="0" w:color="7F7F7F"/>
              <w:left w:val="nil"/>
              <w:bottom w:val="single" w:sz="4" w:space="0" w:color="7F7F7F"/>
              <w:right w:val="single" w:sz="4" w:space="0" w:color="7F7F7F"/>
            </w:tcBorders>
            <w:shd w:val="clear" w:color="auto" w:fill="EEECE1" w:themeFill="background2"/>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52,174</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Motor Vehicles</w:t>
            </w:r>
          </w:p>
        </w:tc>
        <w:tc>
          <w:tcPr>
            <w:tcW w:w="1059" w:type="dxa"/>
            <w:gridSpan w:val="2"/>
            <w:tcBorders>
              <w:top w:val="nil"/>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31,115</w:t>
            </w:r>
          </w:p>
        </w:tc>
        <w:tc>
          <w:tcPr>
            <w:tcW w:w="1052" w:type="dxa"/>
            <w:gridSpan w:val="2"/>
            <w:tcBorders>
              <w:top w:val="nil"/>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29,370</w:t>
            </w:r>
          </w:p>
        </w:tc>
        <w:tc>
          <w:tcPr>
            <w:tcW w:w="1052" w:type="dxa"/>
            <w:gridSpan w:val="2"/>
            <w:tcBorders>
              <w:top w:val="nil"/>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31,636</w:t>
            </w:r>
          </w:p>
        </w:tc>
        <w:tc>
          <w:tcPr>
            <w:tcW w:w="1052" w:type="dxa"/>
            <w:gridSpan w:val="2"/>
            <w:tcBorders>
              <w:top w:val="nil"/>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31,157</w:t>
            </w:r>
          </w:p>
        </w:tc>
        <w:tc>
          <w:tcPr>
            <w:tcW w:w="1052" w:type="dxa"/>
            <w:gridSpan w:val="2"/>
            <w:tcBorders>
              <w:top w:val="nil"/>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33,028</w:t>
            </w:r>
          </w:p>
        </w:tc>
        <w:tc>
          <w:tcPr>
            <w:tcW w:w="1052" w:type="dxa"/>
            <w:gridSpan w:val="2"/>
            <w:tcBorders>
              <w:top w:val="nil"/>
              <w:left w:val="nil"/>
              <w:bottom w:val="single" w:sz="4" w:space="0" w:color="7F7F7F"/>
              <w:right w:val="single" w:sz="4" w:space="0" w:color="7F7F7F"/>
            </w:tcBorders>
            <w:shd w:val="clear" w:color="auto" w:fill="EEECE1" w:themeFill="background2"/>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33,000</w:t>
            </w:r>
          </w:p>
        </w:tc>
        <w:tc>
          <w:tcPr>
            <w:tcW w:w="1052" w:type="dxa"/>
            <w:gridSpan w:val="2"/>
            <w:tcBorders>
              <w:top w:val="nil"/>
              <w:left w:val="nil"/>
              <w:bottom w:val="single" w:sz="4" w:space="0" w:color="7F7F7F"/>
              <w:right w:val="single" w:sz="4" w:space="0" w:color="7F7F7F"/>
            </w:tcBorders>
            <w:shd w:val="clear" w:color="auto" w:fill="EEECE1" w:themeFill="background2"/>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34,672</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Plant &amp; Equipment</w:t>
            </w:r>
          </w:p>
        </w:tc>
        <w:tc>
          <w:tcPr>
            <w:tcW w:w="1059" w:type="dxa"/>
            <w:gridSpan w:val="2"/>
            <w:tcBorders>
              <w:top w:val="nil"/>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4,870</w:t>
            </w:r>
          </w:p>
        </w:tc>
        <w:tc>
          <w:tcPr>
            <w:tcW w:w="1052" w:type="dxa"/>
            <w:gridSpan w:val="2"/>
            <w:tcBorders>
              <w:top w:val="nil"/>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5,104</w:t>
            </w:r>
          </w:p>
        </w:tc>
        <w:tc>
          <w:tcPr>
            <w:tcW w:w="1052" w:type="dxa"/>
            <w:gridSpan w:val="2"/>
            <w:tcBorders>
              <w:top w:val="nil"/>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4,762</w:t>
            </w:r>
          </w:p>
        </w:tc>
        <w:tc>
          <w:tcPr>
            <w:tcW w:w="1052" w:type="dxa"/>
            <w:gridSpan w:val="2"/>
            <w:tcBorders>
              <w:top w:val="nil"/>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4,907</w:t>
            </w:r>
          </w:p>
        </w:tc>
        <w:tc>
          <w:tcPr>
            <w:tcW w:w="1052" w:type="dxa"/>
            <w:gridSpan w:val="2"/>
            <w:tcBorders>
              <w:top w:val="nil"/>
              <w:left w:val="nil"/>
              <w:bottom w:val="single" w:sz="4" w:space="0" w:color="7F7F7F"/>
              <w:right w:val="single" w:sz="4" w:space="0" w:color="7F7F7F"/>
            </w:tcBorders>
            <w:shd w:val="clear" w:color="auto" w:fill="auto"/>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4,812</w:t>
            </w:r>
          </w:p>
        </w:tc>
        <w:tc>
          <w:tcPr>
            <w:tcW w:w="1052" w:type="dxa"/>
            <w:gridSpan w:val="2"/>
            <w:tcBorders>
              <w:top w:val="nil"/>
              <w:left w:val="nil"/>
              <w:bottom w:val="single" w:sz="4" w:space="0" w:color="7F7F7F"/>
              <w:right w:val="single" w:sz="4" w:space="0" w:color="7F7F7F"/>
            </w:tcBorders>
            <w:shd w:val="clear" w:color="auto" w:fill="EEECE1" w:themeFill="background2"/>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4,396</w:t>
            </w:r>
          </w:p>
        </w:tc>
        <w:tc>
          <w:tcPr>
            <w:tcW w:w="1052" w:type="dxa"/>
            <w:gridSpan w:val="2"/>
            <w:tcBorders>
              <w:top w:val="nil"/>
              <w:left w:val="nil"/>
              <w:bottom w:val="single" w:sz="4" w:space="0" w:color="7F7F7F"/>
              <w:right w:val="single" w:sz="4" w:space="0" w:color="7F7F7F"/>
            </w:tcBorders>
            <w:shd w:val="clear" w:color="auto" w:fill="EEECE1" w:themeFill="background2"/>
            <w:noWrap/>
            <w:vAlign w:val="bottom"/>
            <w:hideMark/>
          </w:tcPr>
          <w:p w:rsidR="003A4342" w:rsidRPr="003A4342" w:rsidRDefault="003A4342" w:rsidP="003A4342">
            <w:pPr>
              <w:jc w:val="right"/>
              <w:rPr>
                <w:rFonts w:ascii="Calibri" w:hAnsi="Calibri" w:cs="Calibri"/>
                <w:sz w:val="22"/>
                <w:szCs w:val="22"/>
              </w:rPr>
            </w:pPr>
            <w:r w:rsidRPr="003A4342">
              <w:rPr>
                <w:rFonts w:ascii="Calibri" w:hAnsi="Calibri" w:cs="Calibri"/>
                <w:sz w:val="22"/>
                <w:szCs w:val="22"/>
              </w:rPr>
              <w:t>3,952</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Total Non-Current Assets</w:t>
            </w:r>
          </w:p>
        </w:tc>
        <w:tc>
          <w:tcPr>
            <w:tcW w:w="1059"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94,559</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90,274</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94,911</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94,503</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93,765</w:t>
            </w:r>
          </w:p>
        </w:tc>
        <w:tc>
          <w:tcPr>
            <w:tcW w:w="1052" w:type="dxa"/>
            <w:gridSpan w:val="2"/>
            <w:tcBorders>
              <w:top w:val="single" w:sz="4" w:space="0" w:color="auto"/>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93,443</w:t>
            </w:r>
          </w:p>
        </w:tc>
        <w:tc>
          <w:tcPr>
            <w:tcW w:w="1052" w:type="dxa"/>
            <w:gridSpan w:val="2"/>
            <w:tcBorders>
              <w:top w:val="single" w:sz="4" w:space="0" w:color="auto"/>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92,698</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xml:space="preserve"> </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TOTAL ASSETS</w:t>
            </w:r>
          </w:p>
        </w:tc>
        <w:tc>
          <w:tcPr>
            <w:tcW w:w="1059" w:type="dxa"/>
            <w:gridSpan w:val="2"/>
            <w:tcBorders>
              <w:top w:val="double" w:sz="6"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110,015</w:t>
            </w:r>
          </w:p>
        </w:tc>
        <w:tc>
          <w:tcPr>
            <w:tcW w:w="1052" w:type="dxa"/>
            <w:gridSpan w:val="2"/>
            <w:tcBorders>
              <w:top w:val="double" w:sz="6"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103,033</w:t>
            </w:r>
          </w:p>
        </w:tc>
        <w:tc>
          <w:tcPr>
            <w:tcW w:w="1052" w:type="dxa"/>
            <w:gridSpan w:val="2"/>
            <w:tcBorders>
              <w:top w:val="double" w:sz="6"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108,575</w:t>
            </w:r>
          </w:p>
        </w:tc>
        <w:tc>
          <w:tcPr>
            <w:tcW w:w="1052" w:type="dxa"/>
            <w:gridSpan w:val="2"/>
            <w:tcBorders>
              <w:top w:val="double" w:sz="6"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106,686</w:t>
            </w:r>
          </w:p>
        </w:tc>
        <w:tc>
          <w:tcPr>
            <w:tcW w:w="1052" w:type="dxa"/>
            <w:gridSpan w:val="2"/>
            <w:tcBorders>
              <w:top w:val="double" w:sz="6"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104,633</w:t>
            </w:r>
          </w:p>
        </w:tc>
        <w:tc>
          <w:tcPr>
            <w:tcW w:w="1052" w:type="dxa"/>
            <w:gridSpan w:val="2"/>
            <w:tcBorders>
              <w:top w:val="double" w:sz="6" w:space="0" w:color="auto"/>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102,378</w:t>
            </w:r>
          </w:p>
        </w:tc>
        <w:tc>
          <w:tcPr>
            <w:tcW w:w="1052" w:type="dxa"/>
            <w:gridSpan w:val="2"/>
            <w:tcBorders>
              <w:top w:val="double" w:sz="6" w:space="0" w:color="auto"/>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99,682</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 </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nil"/>
            </w:tcBorders>
            <w:shd w:val="clear" w:color="auto" w:fill="auto"/>
            <w:noWrap/>
            <w:vAlign w:val="bottom"/>
            <w:hideMark/>
          </w:tcPr>
          <w:p w:rsidR="003A4342" w:rsidRPr="003A4342" w:rsidRDefault="003A4342" w:rsidP="003A4342">
            <w:pPr>
              <w:jc w:val="right"/>
              <w:rPr>
                <w:rFonts w:ascii="Arial" w:hAnsi="Arial" w:cs="Arial"/>
              </w:rPr>
            </w:pPr>
          </w:p>
        </w:tc>
        <w:tc>
          <w:tcPr>
            <w:tcW w:w="1052" w:type="dxa"/>
            <w:gridSpan w:val="2"/>
            <w:tcBorders>
              <w:top w:val="nil"/>
              <w:left w:val="single" w:sz="4" w:space="0" w:color="auto"/>
              <w:bottom w:val="single" w:sz="4" w:space="0" w:color="auto"/>
              <w:right w:val="nil"/>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c>
          <w:tcPr>
            <w:tcW w:w="1052"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c>
          <w:tcPr>
            <w:tcW w:w="1052"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c>
          <w:tcPr>
            <w:tcW w:w="1052"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416A40" w:rsidRDefault="003A4342" w:rsidP="003A4342">
            <w:pPr>
              <w:rPr>
                <w:rFonts w:ascii="Arial" w:hAnsi="Arial" w:cs="Arial"/>
                <w:b/>
                <w:bCs/>
                <w:sz w:val="18"/>
                <w:szCs w:val="18"/>
              </w:rPr>
            </w:pPr>
            <w:r w:rsidRPr="00416A40">
              <w:rPr>
                <w:rFonts w:ascii="Arial" w:hAnsi="Arial" w:cs="Arial"/>
                <w:b/>
                <w:bCs/>
                <w:sz w:val="18"/>
                <w:szCs w:val="18"/>
              </w:rPr>
              <w:t>CURRENT LIABILITIES</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nil"/>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single" w:sz="4" w:space="0" w:color="auto"/>
              <w:bottom w:val="single" w:sz="4" w:space="0" w:color="auto"/>
              <w:right w:val="nil"/>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c>
          <w:tcPr>
            <w:tcW w:w="1052"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c>
          <w:tcPr>
            <w:tcW w:w="1052"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c>
          <w:tcPr>
            <w:tcW w:w="1052"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Payables</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4,413</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2,649</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3,006</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2,554</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2,560</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2,580</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2,600</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Provision for Employee Entitlements</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9,907</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9,894</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10,257</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10,607</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10,957</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11,307</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11,657</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Interest Bearing Liabilities</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1,368</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1,830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1,368</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1,368</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1,368</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1,368</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1,368</w:t>
            </w:r>
          </w:p>
        </w:tc>
      </w:tr>
      <w:tr w:rsidR="003A4342" w:rsidRPr="003A4342" w:rsidTr="00BF4EB0">
        <w:trPr>
          <w:gridAfter w:val="1"/>
          <w:wAfter w:w="284" w:type="dxa"/>
          <w:trHeight w:val="34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Total Current Liabilities</w:t>
            </w:r>
          </w:p>
        </w:tc>
        <w:tc>
          <w:tcPr>
            <w:tcW w:w="1059"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15,688</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14,373</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14,631</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14,529</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14,885</w:t>
            </w:r>
          </w:p>
        </w:tc>
        <w:tc>
          <w:tcPr>
            <w:tcW w:w="1052" w:type="dxa"/>
            <w:gridSpan w:val="2"/>
            <w:tcBorders>
              <w:top w:val="single" w:sz="4" w:space="0" w:color="auto"/>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15,255</w:t>
            </w:r>
          </w:p>
        </w:tc>
        <w:tc>
          <w:tcPr>
            <w:tcW w:w="1052" w:type="dxa"/>
            <w:gridSpan w:val="2"/>
            <w:tcBorders>
              <w:top w:val="single" w:sz="4" w:space="0" w:color="auto"/>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15,625</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 </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c>
          <w:tcPr>
            <w:tcW w:w="1052"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c>
          <w:tcPr>
            <w:tcW w:w="1052"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c>
          <w:tcPr>
            <w:tcW w:w="1052"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nil"/>
            </w:tcBorders>
            <w:shd w:val="clear" w:color="auto" w:fill="auto"/>
            <w:vAlign w:val="center"/>
            <w:hideMark/>
          </w:tcPr>
          <w:p w:rsidR="003A4342" w:rsidRPr="00416A40" w:rsidRDefault="003A4342" w:rsidP="003A4342">
            <w:pPr>
              <w:rPr>
                <w:rFonts w:ascii="Arial" w:hAnsi="Arial" w:cs="Arial"/>
                <w:b/>
                <w:bCs/>
                <w:sz w:val="18"/>
                <w:szCs w:val="18"/>
              </w:rPr>
            </w:pPr>
            <w:r w:rsidRPr="00416A40">
              <w:rPr>
                <w:rFonts w:ascii="Arial" w:hAnsi="Arial" w:cs="Arial"/>
                <w:b/>
                <w:bCs/>
                <w:sz w:val="18"/>
                <w:szCs w:val="18"/>
              </w:rPr>
              <w:t>NON CURRENT LIABILITIES</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c>
          <w:tcPr>
            <w:tcW w:w="1052"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c>
          <w:tcPr>
            <w:tcW w:w="1052"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c>
          <w:tcPr>
            <w:tcW w:w="1052"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Provision for Employee Entitlements</w:t>
            </w:r>
          </w:p>
        </w:tc>
        <w:tc>
          <w:tcPr>
            <w:tcW w:w="10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870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1,157</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986</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1,066</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1,156</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1,256</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1,356</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Interest Bearing Liabilities</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3,330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2,868</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3,330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3,330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3,330</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3,330</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3,330</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SFC Superannuation Fund Net Liability</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5,529</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10,741</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5,529</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5,529</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5,529</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5,529</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5,529</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Total Non-Current Liabilities</w:t>
            </w:r>
          </w:p>
        </w:tc>
        <w:tc>
          <w:tcPr>
            <w:tcW w:w="1059"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9,729</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14,766</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9,845</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9,925</w:t>
            </w:r>
          </w:p>
        </w:tc>
        <w:tc>
          <w:tcPr>
            <w:tcW w:w="105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10,015</w:t>
            </w:r>
          </w:p>
        </w:tc>
        <w:tc>
          <w:tcPr>
            <w:tcW w:w="1052" w:type="dxa"/>
            <w:gridSpan w:val="2"/>
            <w:tcBorders>
              <w:top w:val="single" w:sz="4" w:space="0" w:color="auto"/>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10,115</w:t>
            </w:r>
          </w:p>
        </w:tc>
        <w:tc>
          <w:tcPr>
            <w:tcW w:w="1052" w:type="dxa"/>
            <w:gridSpan w:val="2"/>
            <w:tcBorders>
              <w:top w:val="single" w:sz="4" w:space="0" w:color="auto"/>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10,215</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TOTAL LIABILITIES</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25,417</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29,139</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24,476</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24,454</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24,900</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25,370</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25,840</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NET ASSETS</w:t>
            </w:r>
          </w:p>
        </w:tc>
        <w:tc>
          <w:tcPr>
            <w:tcW w:w="1059" w:type="dxa"/>
            <w:gridSpan w:val="2"/>
            <w:tcBorders>
              <w:top w:val="double" w:sz="6"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84,598</w:t>
            </w:r>
          </w:p>
        </w:tc>
        <w:tc>
          <w:tcPr>
            <w:tcW w:w="1052" w:type="dxa"/>
            <w:gridSpan w:val="2"/>
            <w:tcBorders>
              <w:top w:val="double" w:sz="6"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73,894</w:t>
            </w:r>
          </w:p>
        </w:tc>
        <w:tc>
          <w:tcPr>
            <w:tcW w:w="1052" w:type="dxa"/>
            <w:gridSpan w:val="2"/>
            <w:tcBorders>
              <w:top w:val="double" w:sz="6"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84,099</w:t>
            </w:r>
          </w:p>
        </w:tc>
        <w:tc>
          <w:tcPr>
            <w:tcW w:w="1052" w:type="dxa"/>
            <w:gridSpan w:val="2"/>
            <w:tcBorders>
              <w:top w:val="double" w:sz="6"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82,232</w:t>
            </w:r>
          </w:p>
        </w:tc>
        <w:tc>
          <w:tcPr>
            <w:tcW w:w="1052" w:type="dxa"/>
            <w:gridSpan w:val="2"/>
            <w:tcBorders>
              <w:top w:val="double" w:sz="6" w:space="0" w:color="auto"/>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79,733</w:t>
            </w:r>
          </w:p>
        </w:tc>
        <w:tc>
          <w:tcPr>
            <w:tcW w:w="1052" w:type="dxa"/>
            <w:gridSpan w:val="2"/>
            <w:tcBorders>
              <w:top w:val="double" w:sz="6" w:space="0" w:color="auto"/>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77,008</w:t>
            </w:r>
          </w:p>
        </w:tc>
        <w:tc>
          <w:tcPr>
            <w:tcW w:w="1052" w:type="dxa"/>
            <w:gridSpan w:val="2"/>
            <w:tcBorders>
              <w:top w:val="double" w:sz="6" w:space="0" w:color="auto"/>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73,842</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EQUITY</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Retained Operating Surpluses</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70,308</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60,401</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69,809</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67,942</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65,443</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62,718</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59,552</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Reserves</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14,290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13,493</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14,290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14,290</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rPr>
            </w:pPr>
            <w:r w:rsidRPr="003A4342">
              <w:rPr>
                <w:rFonts w:ascii="Arial" w:hAnsi="Arial" w:cs="Arial"/>
              </w:rPr>
              <w:t>14,290</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14,290</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rPr>
            </w:pPr>
            <w:r w:rsidRPr="003A4342">
              <w:rPr>
                <w:rFonts w:ascii="Arial" w:hAnsi="Arial" w:cs="Arial"/>
              </w:rPr>
              <w:t>14,290</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w:t>
            </w:r>
          </w:p>
        </w:tc>
        <w:tc>
          <w:tcPr>
            <w:tcW w:w="1059"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auto"/>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r w:rsidRPr="003A4342">
              <w:rPr>
                <w:rFonts w:ascii="Arial" w:hAnsi="Arial" w:cs="Arial"/>
              </w:rPr>
              <w:t> </w:t>
            </w:r>
          </w:p>
        </w:tc>
        <w:tc>
          <w:tcPr>
            <w:tcW w:w="1052" w:type="dxa"/>
            <w:gridSpan w:val="2"/>
            <w:tcBorders>
              <w:top w:val="nil"/>
              <w:left w:val="nil"/>
              <w:bottom w:val="single" w:sz="4" w:space="0" w:color="auto"/>
              <w:right w:val="single" w:sz="4" w:space="0" w:color="auto"/>
            </w:tcBorders>
            <w:shd w:val="clear" w:color="auto" w:fill="EEECE1" w:themeFill="background2"/>
            <w:noWrap/>
            <w:vAlign w:val="bottom"/>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gridAfter w:val="1"/>
          <w:wAfter w:w="284" w:type="dxa"/>
          <w:trHeight w:val="25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TOTAL EQUITY</w:t>
            </w:r>
          </w:p>
        </w:tc>
        <w:tc>
          <w:tcPr>
            <w:tcW w:w="1059" w:type="dxa"/>
            <w:gridSpan w:val="2"/>
            <w:tcBorders>
              <w:top w:val="nil"/>
              <w:left w:val="nil"/>
              <w:bottom w:val="single" w:sz="8"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84,598</w:t>
            </w:r>
          </w:p>
        </w:tc>
        <w:tc>
          <w:tcPr>
            <w:tcW w:w="1052" w:type="dxa"/>
            <w:gridSpan w:val="2"/>
            <w:tcBorders>
              <w:top w:val="nil"/>
              <w:left w:val="nil"/>
              <w:bottom w:val="single" w:sz="8"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73,894</w:t>
            </w:r>
          </w:p>
        </w:tc>
        <w:tc>
          <w:tcPr>
            <w:tcW w:w="1052" w:type="dxa"/>
            <w:gridSpan w:val="2"/>
            <w:tcBorders>
              <w:top w:val="nil"/>
              <w:left w:val="nil"/>
              <w:bottom w:val="single" w:sz="8"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84,099</w:t>
            </w:r>
          </w:p>
        </w:tc>
        <w:tc>
          <w:tcPr>
            <w:tcW w:w="1052" w:type="dxa"/>
            <w:gridSpan w:val="2"/>
            <w:tcBorders>
              <w:top w:val="nil"/>
              <w:left w:val="nil"/>
              <w:bottom w:val="single" w:sz="8"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82,232</w:t>
            </w:r>
          </w:p>
        </w:tc>
        <w:tc>
          <w:tcPr>
            <w:tcW w:w="1052" w:type="dxa"/>
            <w:gridSpan w:val="2"/>
            <w:tcBorders>
              <w:top w:val="nil"/>
              <w:left w:val="nil"/>
              <w:bottom w:val="single" w:sz="8" w:space="0" w:color="auto"/>
              <w:right w:val="single" w:sz="4" w:space="0" w:color="auto"/>
            </w:tcBorders>
            <w:shd w:val="clear" w:color="auto" w:fill="auto"/>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79,733</w:t>
            </w:r>
          </w:p>
        </w:tc>
        <w:tc>
          <w:tcPr>
            <w:tcW w:w="1052" w:type="dxa"/>
            <w:gridSpan w:val="2"/>
            <w:tcBorders>
              <w:top w:val="nil"/>
              <w:left w:val="nil"/>
              <w:bottom w:val="single" w:sz="8"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77,008</w:t>
            </w:r>
          </w:p>
        </w:tc>
        <w:tc>
          <w:tcPr>
            <w:tcW w:w="1052" w:type="dxa"/>
            <w:gridSpan w:val="2"/>
            <w:tcBorders>
              <w:top w:val="nil"/>
              <w:left w:val="nil"/>
              <w:bottom w:val="single" w:sz="8" w:space="0" w:color="auto"/>
              <w:right w:val="single" w:sz="4" w:space="0" w:color="auto"/>
            </w:tcBorders>
            <w:shd w:val="clear" w:color="auto" w:fill="EEECE1" w:themeFill="background2"/>
            <w:noWrap/>
            <w:vAlign w:val="bottom"/>
            <w:hideMark/>
          </w:tcPr>
          <w:p w:rsidR="003A4342" w:rsidRPr="003A4342" w:rsidRDefault="003A4342" w:rsidP="003A4342">
            <w:pPr>
              <w:jc w:val="right"/>
              <w:rPr>
                <w:rFonts w:ascii="Arial" w:hAnsi="Arial" w:cs="Arial"/>
                <w:b/>
                <w:bCs/>
              </w:rPr>
            </w:pPr>
            <w:r w:rsidRPr="003A4342">
              <w:rPr>
                <w:rFonts w:ascii="Arial" w:hAnsi="Arial" w:cs="Arial"/>
                <w:b/>
                <w:bCs/>
              </w:rPr>
              <w:t>73,842</w:t>
            </w:r>
          </w:p>
        </w:tc>
      </w:tr>
      <w:tr w:rsidR="003A4342" w:rsidRPr="003A4342" w:rsidTr="00BF4EB0">
        <w:trPr>
          <w:trHeight w:val="405"/>
        </w:trPr>
        <w:tc>
          <w:tcPr>
            <w:tcW w:w="9923" w:type="dxa"/>
            <w:gridSpan w:val="16"/>
            <w:tcBorders>
              <w:top w:val="nil"/>
              <w:left w:val="nil"/>
              <w:bottom w:val="nil"/>
              <w:right w:val="nil"/>
            </w:tcBorders>
            <w:shd w:val="clear" w:color="auto" w:fill="auto"/>
            <w:noWrap/>
            <w:vAlign w:val="bottom"/>
            <w:hideMark/>
          </w:tcPr>
          <w:p w:rsidR="003A4342" w:rsidRPr="003A4342" w:rsidRDefault="003A4342" w:rsidP="003A4342">
            <w:pPr>
              <w:jc w:val="center"/>
              <w:rPr>
                <w:rFonts w:ascii="Arial" w:hAnsi="Arial" w:cs="Arial"/>
                <w:b/>
                <w:bCs/>
                <w:sz w:val="24"/>
                <w:szCs w:val="24"/>
              </w:rPr>
            </w:pPr>
            <w:bookmarkStart w:id="59" w:name="RANGE!A1:T33"/>
            <w:r w:rsidRPr="003A4342">
              <w:rPr>
                <w:rFonts w:ascii="Arial" w:hAnsi="Arial" w:cs="Arial"/>
                <w:b/>
                <w:bCs/>
                <w:sz w:val="24"/>
                <w:szCs w:val="24"/>
              </w:rPr>
              <w:t>STATE FIRE COMMISSION</w:t>
            </w:r>
            <w:bookmarkEnd w:id="59"/>
          </w:p>
        </w:tc>
      </w:tr>
      <w:tr w:rsidR="003A4342" w:rsidRPr="003A4342" w:rsidTr="00BF4EB0">
        <w:trPr>
          <w:trHeight w:val="300"/>
        </w:trPr>
        <w:tc>
          <w:tcPr>
            <w:tcW w:w="9923" w:type="dxa"/>
            <w:gridSpan w:val="16"/>
            <w:tcBorders>
              <w:top w:val="nil"/>
              <w:left w:val="nil"/>
              <w:bottom w:val="nil"/>
              <w:right w:val="nil"/>
            </w:tcBorders>
            <w:shd w:val="clear" w:color="auto" w:fill="auto"/>
            <w:noWrap/>
            <w:vAlign w:val="bottom"/>
            <w:hideMark/>
          </w:tcPr>
          <w:p w:rsidR="003A4342" w:rsidRPr="003A4342" w:rsidRDefault="003A4342" w:rsidP="003A4342">
            <w:pPr>
              <w:jc w:val="center"/>
              <w:rPr>
                <w:rFonts w:ascii="Arial" w:hAnsi="Arial" w:cs="Arial"/>
                <w:b/>
                <w:bCs/>
              </w:rPr>
            </w:pPr>
            <w:r w:rsidRPr="003A4342">
              <w:rPr>
                <w:rFonts w:ascii="Arial" w:hAnsi="Arial" w:cs="Arial"/>
                <w:b/>
                <w:bCs/>
              </w:rPr>
              <w:t>FINANCIAL PLAN - CASH FLOW STATEMENT</w:t>
            </w:r>
          </w:p>
        </w:tc>
      </w:tr>
      <w:tr w:rsidR="003A4342" w:rsidRPr="003A4342" w:rsidTr="00BF4EB0">
        <w:trPr>
          <w:trHeight w:val="349"/>
        </w:trPr>
        <w:tc>
          <w:tcPr>
            <w:tcW w:w="2359" w:type="dxa"/>
            <w:gridSpan w:val="2"/>
            <w:tcBorders>
              <w:top w:val="nil"/>
              <w:left w:val="nil"/>
              <w:bottom w:val="nil"/>
              <w:right w:val="nil"/>
            </w:tcBorders>
            <w:shd w:val="clear" w:color="auto" w:fill="auto"/>
            <w:noWrap/>
            <w:vAlign w:val="bottom"/>
            <w:hideMark/>
          </w:tcPr>
          <w:p w:rsidR="003A4342" w:rsidRPr="003A4342" w:rsidRDefault="003A4342" w:rsidP="003A4342">
            <w:pPr>
              <w:rPr>
                <w:rFonts w:ascii="Arial" w:hAnsi="Arial" w:cs="Arial"/>
              </w:rPr>
            </w:pPr>
          </w:p>
        </w:tc>
        <w:tc>
          <w:tcPr>
            <w:tcW w:w="1040" w:type="dxa"/>
            <w:gridSpan w:val="2"/>
            <w:tcBorders>
              <w:top w:val="nil"/>
              <w:left w:val="nil"/>
              <w:bottom w:val="nil"/>
              <w:right w:val="nil"/>
            </w:tcBorders>
            <w:shd w:val="clear" w:color="auto" w:fill="auto"/>
            <w:noWrap/>
            <w:vAlign w:val="bottom"/>
            <w:hideMark/>
          </w:tcPr>
          <w:p w:rsidR="003A4342" w:rsidRPr="003A4342" w:rsidRDefault="003A4342" w:rsidP="003A4342">
            <w:pPr>
              <w:jc w:val="center"/>
              <w:rPr>
                <w:rFonts w:ascii="Arial" w:hAnsi="Arial" w:cs="Arial"/>
                <w:b/>
                <w:bCs/>
                <w:color w:val="FFFFFF"/>
              </w:rPr>
            </w:pPr>
            <w:r w:rsidRPr="003A4342">
              <w:rPr>
                <w:rFonts w:ascii="Arial" w:hAnsi="Arial" w:cs="Arial"/>
                <w:b/>
                <w:bCs/>
                <w:color w:val="FFFFFF"/>
              </w:rPr>
              <w:t>0</w:t>
            </w:r>
          </w:p>
        </w:tc>
        <w:tc>
          <w:tcPr>
            <w:tcW w:w="1040" w:type="dxa"/>
            <w:gridSpan w:val="2"/>
            <w:tcBorders>
              <w:top w:val="nil"/>
              <w:left w:val="nil"/>
              <w:bottom w:val="nil"/>
              <w:right w:val="nil"/>
            </w:tcBorders>
            <w:shd w:val="clear" w:color="auto" w:fill="auto"/>
            <w:noWrap/>
            <w:vAlign w:val="bottom"/>
            <w:hideMark/>
          </w:tcPr>
          <w:p w:rsidR="003A4342" w:rsidRPr="003A4342" w:rsidRDefault="003A4342" w:rsidP="003A4342">
            <w:pPr>
              <w:jc w:val="center"/>
              <w:rPr>
                <w:rFonts w:ascii="Arial" w:hAnsi="Arial" w:cs="Arial"/>
                <w:b/>
                <w:bCs/>
                <w:color w:val="FFFFFF"/>
                <w:sz w:val="16"/>
                <w:szCs w:val="16"/>
              </w:rPr>
            </w:pPr>
            <w:r w:rsidRPr="003A4342">
              <w:rPr>
                <w:rFonts w:ascii="Arial" w:hAnsi="Arial" w:cs="Arial"/>
                <w:b/>
                <w:bCs/>
                <w:color w:val="FFFFFF"/>
                <w:sz w:val="16"/>
                <w:szCs w:val="16"/>
              </w:rPr>
              <w:t>Original</w:t>
            </w:r>
          </w:p>
        </w:tc>
        <w:tc>
          <w:tcPr>
            <w:tcW w:w="1041" w:type="dxa"/>
            <w:gridSpan w:val="2"/>
            <w:tcBorders>
              <w:top w:val="nil"/>
              <w:left w:val="nil"/>
              <w:bottom w:val="nil"/>
              <w:right w:val="nil"/>
            </w:tcBorders>
            <w:shd w:val="clear" w:color="auto" w:fill="auto"/>
            <w:noWrap/>
            <w:vAlign w:val="bottom"/>
            <w:hideMark/>
          </w:tcPr>
          <w:p w:rsidR="003A4342" w:rsidRPr="003A4342" w:rsidRDefault="003A4342" w:rsidP="003A4342">
            <w:pPr>
              <w:jc w:val="center"/>
              <w:rPr>
                <w:rFonts w:ascii="Arial" w:hAnsi="Arial" w:cs="Arial"/>
                <w:b/>
                <w:bCs/>
                <w:color w:val="FFFFFF"/>
                <w:sz w:val="16"/>
                <w:szCs w:val="16"/>
              </w:rPr>
            </w:pPr>
            <w:r w:rsidRPr="003A4342">
              <w:rPr>
                <w:rFonts w:ascii="Arial" w:hAnsi="Arial" w:cs="Arial"/>
                <w:b/>
                <w:bCs/>
                <w:color w:val="FFFFFF"/>
                <w:sz w:val="16"/>
                <w:szCs w:val="16"/>
              </w:rPr>
              <w:t>Revised</w:t>
            </w:r>
          </w:p>
        </w:tc>
        <w:tc>
          <w:tcPr>
            <w:tcW w:w="1041" w:type="dxa"/>
            <w:gridSpan w:val="2"/>
            <w:tcBorders>
              <w:top w:val="nil"/>
              <w:left w:val="nil"/>
              <w:bottom w:val="nil"/>
              <w:right w:val="nil"/>
            </w:tcBorders>
            <w:shd w:val="clear" w:color="auto" w:fill="auto"/>
            <w:noWrap/>
            <w:vAlign w:val="bottom"/>
            <w:hideMark/>
          </w:tcPr>
          <w:p w:rsidR="003A4342" w:rsidRPr="003A4342" w:rsidRDefault="003A4342" w:rsidP="003A4342">
            <w:pPr>
              <w:jc w:val="center"/>
              <w:rPr>
                <w:rFonts w:ascii="Arial" w:hAnsi="Arial" w:cs="Arial"/>
                <w:b/>
                <w:bCs/>
                <w:color w:val="FFFFFF"/>
                <w:sz w:val="16"/>
                <w:szCs w:val="16"/>
              </w:rPr>
            </w:pPr>
            <w:r w:rsidRPr="003A4342">
              <w:rPr>
                <w:rFonts w:ascii="Arial" w:hAnsi="Arial" w:cs="Arial"/>
                <w:b/>
                <w:bCs/>
                <w:color w:val="FFFFFF"/>
                <w:sz w:val="16"/>
                <w:szCs w:val="16"/>
              </w:rPr>
              <w:t>Revised</w:t>
            </w:r>
          </w:p>
        </w:tc>
        <w:tc>
          <w:tcPr>
            <w:tcW w:w="1041" w:type="dxa"/>
            <w:gridSpan w:val="2"/>
            <w:tcBorders>
              <w:top w:val="nil"/>
              <w:left w:val="nil"/>
              <w:bottom w:val="nil"/>
              <w:right w:val="nil"/>
            </w:tcBorders>
            <w:shd w:val="clear" w:color="auto" w:fill="auto"/>
            <w:noWrap/>
            <w:vAlign w:val="bottom"/>
            <w:hideMark/>
          </w:tcPr>
          <w:p w:rsidR="003A4342" w:rsidRPr="003A4342" w:rsidRDefault="003A4342" w:rsidP="003A4342">
            <w:pPr>
              <w:jc w:val="center"/>
              <w:rPr>
                <w:rFonts w:ascii="Arial" w:hAnsi="Arial" w:cs="Arial"/>
                <w:b/>
                <w:bCs/>
                <w:color w:val="FFFFFF"/>
                <w:sz w:val="16"/>
                <w:szCs w:val="16"/>
              </w:rPr>
            </w:pPr>
            <w:r w:rsidRPr="003A4342">
              <w:rPr>
                <w:rFonts w:ascii="Arial" w:hAnsi="Arial" w:cs="Arial"/>
                <w:b/>
                <w:bCs/>
                <w:color w:val="FFFFFF"/>
                <w:sz w:val="16"/>
                <w:szCs w:val="16"/>
              </w:rPr>
              <w:t>Revised</w:t>
            </w:r>
          </w:p>
        </w:tc>
        <w:tc>
          <w:tcPr>
            <w:tcW w:w="1041" w:type="dxa"/>
            <w:gridSpan w:val="2"/>
            <w:tcBorders>
              <w:top w:val="nil"/>
              <w:left w:val="nil"/>
              <w:bottom w:val="nil"/>
              <w:right w:val="nil"/>
            </w:tcBorders>
            <w:shd w:val="clear" w:color="auto" w:fill="auto"/>
            <w:noWrap/>
            <w:vAlign w:val="bottom"/>
            <w:hideMark/>
          </w:tcPr>
          <w:p w:rsidR="003A4342" w:rsidRPr="003A4342" w:rsidRDefault="003A4342" w:rsidP="003A4342">
            <w:pPr>
              <w:jc w:val="center"/>
              <w:rPr>
                <w:rFonts w:ascii="Arial" w:hAnsi="Arial" w:cs="Arial"/>
                <w:b/>
                <w:bCs/>
                <w:color w:val="FFFFFF"/>
                <w:sz w:val="16"/>
                <w:szCs w:val="16"/>
              </w:rPr>
            </w:pPr>
            <w:r w:rsidRPr="003A4342">
              <w:rPr>
                <w:rFonts w:ascii="Arial" w:hAnsi="Arial" w:cs="Arial"/>
                <w:b/>
                <w:bCs/>
                <w:color w:val="FFFFFF"/>
                <w:sz w:val="16"/>
                <w:szCs w:val="16"/>
              </w:rPr>
              <w:t>Revised</w:t>
            </w:r>
          </w:p>
        </w:tc>
        <w:tc>
          <w:tcPr>
            <w:tcW w:w="1320" w:type="dxa"/>
            <w:gridSpan w:val="2"/>
            <w:tcBorders>
              <w:top w:val="nil"/>
              <w:left w:val="nil"/>
              <w:bottom w:val="nil"/>
              <w:right w:val="nil"/>
            </w:tcBorders>
            <w:shd w:val="clear" w:color="auto" w:fill="auto"/>
            <w:noWrap/>
            <w:vAlign w:val="bottom"/>
            <w:hideMark/>
          </w:tcPr>
          <w:p w:rsidR="003A4342" w:rsidRPr="003A4342" w:rsidRDefault="003A4342" w:rsidP="003A4342">
            <w:pPr>
              <w:jc w:val="center"/>
              <w:rPr>
                <w:rFonts w:ascii="Arial" w:hAnsi="Arial" w:cs="Arial"/>
                <w:b/>
                <w:bCs/>
                <w:color w:val="FFFFFF"/>
                <w:sz w:val="16"/>
                <w:szCs w:val="16"/>
              </w:rPr>
            </w:pPr>
            <w:r w:rsidRPr="003A4342">
              <w:rPr>
                <w:rFonts w:ascii="Arial" w:hAnsi="Arial" w:cs="Arial"/>
                <w:b/>
                <w:bCs/>
                <w:color w:val="FFFFFF"/>
                <w:sz w:val="16"/>
                <w:szCs w:val="16"/>
              </w:rPr>
              <w:t>Revised</w:t>
            </w:r>
          </w:p>
        </w:tc>
      </w:tr>
      <w:tr w:rsidR="003A4342" w:rsidRPr="003A4342" w:rsidTr="00BF4EB0">
        <w:trPr>
          <w:trHeight w:val="683"/>
        </w:trPr>
        <w:tc>
          <w:tcPr>
            <w:tcW w:w="2359" w:type="dxa"/>
            <w:gridSpan w:val="2"/>
            <w:tcBorders>
              <w:top w:val="nil"/>
              <w:left w:val="nil"/>
              <w:bottom w:val="nil"/>
              <w:right w:val="nil"/>
            </w:tcBorders>
            <w:shd w:val="clear" w:color="auto" w:fill="auto"/>
            <w:noWrap/>
            <w:vAlign w:val="bottom"/>
            <w:hideMark/>
          </w:tcPr>
          <w:p w:rsidR="003A4342" w:rsidRPr="003A4342" w:rsidRDefault="003A4342" w:rsidP="003A4342">
            <w:pPr>
              <w:rPr>
                <w:rFonts w:ascii="Arial" w:hAnsi="Arial" w:cs="Arial"/>
              </w:rPr>
            </w:pPr>
          </w:p>
        </w:tc>
        <w:tc>
          <w:tcPr>
            <w:tcW w:w="1040" w:type="dxa"/>
            <w:gridSpan w:val="2"/>
            <w:tcBorders>
              <w:top w:val="single" w:sz="4" w:space="0" w:color="auto"/>
              <w:left w:val="single" w:sz="4" w:space="0" w:color="auto"/>
              <w:bottom w:val="nil"/>
              <w:right w:val="single" w:sz="4" w:space="0" w:color="auto"/>
            </w:tcBorders>
            <w:shd w:val="clear" w:color="auto" w:fill="auto"/>
            <w:vAlign w:val="bottom"/>
            <w:hideMark/>
          </w:tcPr>
          <w:p w:rsidR="003A4342" w:rsidRPr="003A4342" w:rsidRDefault="003A4342" w:rsidP="003A4342">
            <w:pPr>
              <w:jc w:val="center"/>
              <w:rPr>
                <w:rFonts w:ascii="Arial" w:hAnsi="Arial" w:cs="Arial"/>
                <w:b/>
                <w:bCs/>
              </w:rPr>
            </w:pPr>
            <w:r w:rsidRPr="003A4342">
              <w:rPr>
                <w:rFonts w:ascii="Arial" w:hAnsi="Arial" w:cs="Arial"/>
                <w:b/>
                <w:bCs/>
              </w:rPr>
              <w:t>Actual</w:t>
            </w:r>
          </w:p>
        </w:tc>
        <w:tc>
          <w:tcPr>
            <w:tcW w:w="1040" w:type="dxa"/>
            <w:gridSpan w:val="2"/>
            <w:tcBorders>
              <w:top w:val="single" w:sz="4" w:space="0" w:color="auto"/>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xml:space="preserve"> </w:t>
            </w:r>
            <w:r w:rsidRPr="003A4342">
              <w:rPr>
                <w:rFonts w:ascii="Arial" w:hAnsi="Arial" w:cs="Arial"/>
                <w:b/>
                <w:bCs/>
              </w:rPr>
              <w:br/>
              <w:t>Base Budget</w:t>
            </w:r>
          </w:p>
        </w:tc>
        <w:tc>
          <w:tcPr>
            <w:tcW w:w="1041" w:type="dxa"/>
            <w:gridSpan w:val="2"/>
            <w:tcBorders>
              <w:top w:val="single" w:sz="4" w:space="0" w:color="auto"/>
              <w:left w:val="nil"/>
              <w:bottom w:val="nil"/>
              <w:right w:val="single" w:sz="4" w:space="0" w:color="auto"/>
            </w:tcBorders>
            <w:shd w:val="clear" w:color="auto" w:fill="auto"/>
            <w:vAlign w:val="bottom"/>
            <w:hideMark/>
          </w:tcPr>
          <w:p w:rsidR="003A4342" w:rsidRPr="003A4342" w:rsidRDefault="003A4342" w:rsidP="003A4342">
            <w:pPr>
              <w:jc w:val="center"/>
              <w:rPr>
                <w:rFonts w:ascii="Arial" w:hAnsi="Arial" w:cs="Arial"/>
                <w:b/>
                <w:bCs/>
              </w:rPr>
            </w:pPr>
            <w:r w:rsidRPr="003A4342">
              <w:rPr>
                <w:rFonts w:ascii="Arial" w:hAnsi="Arial" w:cs="Arial"/>
                <w:b/>
                <w:bCs/>
              </w:rPr>
              <w:t>Year 1</w:t>
            </w:r>
          </w:p>
        </w:tc>
        <w:tc>
          <w:tcPr>
            <w:tcW w:w="1041" w:type="dxa"/>
            <w:gridSpan w:val="2"/>
            <w:tcBorders>
              <w:top w:val="single" w:sz="4" w:space="0" w:color="auto"/>
              <w:left w:val="nil"/>
              <w:bottom w:val="nil"/>
              <w:right w:val="single" w:sz="4" w:space="0" w:color="auto"/>
            </w:tcBorders>
            <w:shd w:val="clear" w:color="auto" w:fill="auto"/>
            <w:vAlign w:val="bottom"/>
            <w:hideMark/>
          </w:tcPr>
          <w:p w:rsidR="003A4342" w:rsidRPr="003A4342" w:rsidRDefault="003A4342" w:rsidP="003A4342">
            <w:pPr>
              <w:jc w:val="center"/>
              <w:rPr>
                <w:rFonts w:ascii="Arial" w:hAnsi="Arial" w:cs="Arial"/>
                <w:b/>
                <w:bCs/>
              </w:rPr>
            </w:pPr>
            <w:r w:rsidRPr="003A4342">
              <w:rPr>
                <w:rFonts w:ascii="Arial" w:hAnsi="Arial" w:cs="Arial"/>
                <w:b/>
                <w:bCs/>
              </w:rPr>
              <w:t>Year 2</w:t>
            </w:r>
          </w:p>
        </w:tc>
        <w:tc>
          <w:tcPr>
            <w:tcW w:w="1041" w:type="dxa"/>
            <w:gridSpan w:val="2"/>
            <w:tcBorders>
              <w:top w:val="single" w:sz="4" w:space="0" w:color="auto"/>
              <w:left w:val="nil"/>
              <w:bottom w:val="nil"/>
              <w:right w:val="single" w:sz="4" w:space="0" w:color="auto"/>
            </w:tcBorders>
            <w:shd w:val="clear" w:color="auto" w:fill="auto"/>
            <w:vAlign w:val="bottom"/>
            <w:hideMark/>
          </w:tcPr>
          <w:p w:rsidR="003A4342" w:rsidRPr="003A4342" w:rsidRDefault="003A4342" w:rsidP="003A4342">
            <w:pPr>
              <w:jc w:val="center"/>
              <w:rPr>
                <w:rFonts w:ascii="Arial" w:hAnsi="Arial" w:cs="Arial"/>
                <w:b/>
                <w:bCs/>
              </w:rPr>
            </w:pPr>
            <w:r w:rsidRPr="003A4342">
              <w:rPr>
                <w:rFonts w:ascii="Arial" w:hAnsi="Arial" w:cs="Arial"/>
                <w:b/>
                <w:bCs/>
              </w:rPr>
              <w:t>Year 3</w:t>
            </w:r>
          </w:p>
        </w:tc>
        <w:tc>
          <w:tcPr>
            <w:tcW w:w="1041" w:type="dxa"/>
            <w:gridSpan w:val="2"/>
            <w:tcBorders>
              <w:top w:val="single" w:sz="4" w:space="0" w:color="auto"/>
              <w:left w:val="nil"/>
              <w:bottom w:val="nil"/>
              <w:right w:val="single" w:sz="4" w:space="0" w:color="auto"/>
            </w:tcBorders>
            <w:shd w:val="clear" w:color="auto" w:fill="EEECE1" w:themeFill="background2"/>
            <w:vAlign w:val="bottom"/>
            <w:hideMark/>
          </w:tcPr>
          <w:p w:rsidR="003A4342" w:rsidRPr="003A4342" w:rsidRDefault="003A4342" w:rsidP="003A4342">
            <w:pPr>
              <w:jc w:val="center"/>
              <w:rPr>
                <w:rFonts w:ascii="Arial" w:hAnsi="Arial" w:cs="Arial"/>
                <w:b/>
                <w:bCs/>
              </w:rPr>
            </w:pPr>
            <w:r w:rsidRPr="003A4342">
              <w:rPr>
                <w:rFonts w:ascii="Arial" w:hAnsi="Arial" w:cs="Arial"/>
                <w:b/>
                <w:bCs/>
              </w:rPr>
              <w:br/>
              <w:t>Year 4</w:t>
            </w:r>
          </w:p>
        </w:tc>
        <w:tc>
          <w:tcPr>
            <w:tcW w:w="1320" w:type="dxa"/>
            <w:gridSpan w:val="2"/>
            <w:tcBorders>
              <w:top w:val="single" w:sz="4" w:space="0" w:color="auto"/>
              <w:left w:val="nil"/>
              <w:bottom w:val="nil"/>
              <w:right w:val="single" w:sz="4" w:space="0" w:color="auto"/>
            </w:tcBorders>
            <w:shd w:val="clear" w:color="auto" w:fill="EEECE1" w:themeFill="background2"/>
            <w:vAlign w:val="bottom"/>
            <w:hideMark/>
          </w:tcPr>
          <w:p w:rsidR="003A4342" w:rsidRPr="003A4342" w:rsidRDefault="003A4342" w:rsidP="003A4342">
            <w:pPr>
              <w:jc w:val="center"/>
              <w:rPr>
                <w:rFonts w:ascii="Arial" w:hAnsi="Arial" w:cs="Arial"/>
                <w:b/>
                <w:bCs/>
              </w:rPr>
            </w:pPr>
            <w:r w:rsidRPr="003A4342">
              <w:rPr>
                <w:rFonts w:ascii="Arial" w:hAnsi="Arial" w:cs="Arial"/>
                <w:b/>
                <w:bCs/>
              </w:rPr>
              <w:t>Year 5</w:t>
            </w:r>
          </w:p>
        </w:tc>
      </w:tr>
      <w:tr w:rsidR="003A4342" w:rsidRPr="003A4342" w:rsidTr="00BF4EB0">
        <w:trPr>
          <w:trHeight w:val="285"/>
        </w:trPr>
        <w:tc>
          <w:tcPr>
            <w:tcW w:w="2359" w:type="dxa"/>
            <w:gridSpan w:val="2"/>
            <w:tcBorders>
              <w:top w:val="nil"/>
              <w:left w:val="nil"/>
              <w:bottom w:val="nil"/>
              <w:right w:val="nil"/>
            </w:tcBorders>
            <w:shd w:val="clear" w:color="auto" w:fill="auto"/>
            <w:noWrap/>
            <w:vAlign w:val="bottom"/>
            <w:hideMark/>
          </w:tcPr>
          <w:p w:rsidR="003A4342" w:rsidRPr="003A4342" w:rsidRDefault="003A4342" w:rsidP="003A4342">
            <w:pPr>
              <w:rPr>
                <w:rFonts w:ascii="Arial" w:hAnsi="Arial" w:cs="Arial"/>
              </w:rPr>
            </w:pPr>
          </w:p>
        </w:tc>
        <w:tc>
          <w:tcPr>
            <w:tcW w:w="1040" w:type="dxa"/>
            <w:gridSpan w:val="2"/>
            <w:tcBorders>
              <w:top w:val="nil"/>
              <w:left w:val="single" w:sz="4" w:space="0" w:color="auto"/>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2009-10</w:t>
            </w:r>
          </w:p>
        </w:tc>
        <w:tc>
          <w:tcPr>
            <w:tcW w:w="1040" w:type="dxa"/>
            <w:gridSpan w:val="2"/>
            <w:tcBorders>
              <w:top w:val="nil"/>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2010-11</w:t>
            </w:r>
          </w:p>
        </w:tc>
        <w:tc>
          <w:tcPr>
            <w:tcW w:w="1041" w:type="dxa"/>
            <w:gridSpan w:val="2"/>
            <w:tcBorders>
              <w:top w:val="nil"/>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2011-12</w:t>
            </w:r>
          </w:p>
        </w:tc>
        <w:tc>
          <w:tcPr>
            <w:tcW w:w="1041" w:type="dxa"/>
            <w:gridSpan w:val="2"/>
            <w:tcBorders>
              <w:top w:val="nil"/>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2012-13</w:t>
            </w:r>
          </w:p>
        </w:tc>
        <w:tc>
          <w:tcPr>
            <w:tcW w:w="1041" w:type="dxa"/>
            <w:gridSpan w:val="2"/>
            <w:tcBorders>
              <w:top w:val="nil"/>
              <w:left w:val="nil"/>
              <w:bottom w:val="nil"/>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2013-14</w:t>
            </w:r>
          </w:p>
        </w:tc>
        <w:tc>
          <w:tcPr>
            <w:tcW w:w="1041" w:type="dxa"/>
            <w:gridSpan w:val="2"/>
            <w:tcBorders>
              <w:top w:val="nil"/>
              <w:left w:val="nil"/>
              <w:bottom w:val="nil"/>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2014-15</w:t>
            </w:r>
          </w:p>
        </w:tc>
        <w:tc>
          <w:tcPr>
            <w:tcW w:w="1320" w:type="dxa"/>
            <w:gridSpan w:val="2"/>
            <w:tcBorders>
              <w:top w:val="nil"/>
              <w:left w:val="nil"/>
              <w:bottom w:val="nil"/>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2015-16</w:t>
            </w:r>
          </w:p>
        </w:tc>
      </w:tr>
      <w:tr w:rsidR="003A4342" w:rsidRPr="003A4342" w:rsidTr="00BF4EB0">
        <w:trPr>
          <w:trHeight w:val="300"/>
        </w:trPr>
        <w:tc>
          <w:tcPr>
            <w:tcW w:w="2359" w:type="dxa"/>
            <w:gridSpan w:val="2"/>
            <w:tcBorders>
              <w:top w:val="nil"/>
              <w:left w:val="nil"/>
              <w:bottom w:val="nil"/>
              <w:right w:val="nil"/>
            </w:tcBorders>
            <w:shd w:val="clear" w:color="auto" w:fill="auto"/>
            <w:noWrap/>
            <w:vAlign w:val="bottom"/>
            <w:hideMark/>
          </w:tcPr>
          <w:p w:rsidR="003A4342" w:rsidRPr="003A4342" w:rsidRDefault="003A4342" w:rsidP="003A4342">
            <w:pPr>
              <w:rPr>
                <w:rFonts w:ascii="Arial" w:hAnsi="Arial" w:cs="Arial"/>
              </w:rPr>
            </w:pPr>
          </w:p>
        </w:tc>
        <w:tc>
          <w:tcPr>
            <w:tcW w:w="1040"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40"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41"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41"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41" w:type="dxa"/>
            <w:gridSpan w:val="2"/>
            <w:tcBorders>
              <w:top w:val="nil"/>
              <w:left w:val="nil"/>
              <w:bottom w:val="single" w:sz="4" w:space="0" w:color="auto"/>
              <w:right w:val="single" w:sz="4" w:space="0" w:color="auto"/>
            </w:tcBorders>
            <w:shd w:val="clear" w:color="auto" w:fill="auto"/>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041"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c>
          <w:tcPr>
            <w:tcW w:w="1320" w:type="dxa"/>
            <w:gridSpan w:val="2"/>
            <w:tcBorders>
              <w:top w:val="nil"/>
              <w:left w:val="nil"/>
              <w:bottom w:val="single" w:sz="4" w:space="0" w:color="auto"/>
              <w:right w:val="single" w:sz="4" w:space="0" w:color="auto"/>
            </w:tcBorders>
            <w:shd w:val="clear" w:color="auto" w:fill="EEECE1" w:themeFill="background2"/>
            <w:vAlign w:val="center"/>
            <w:hideMark/>
          </w:tcPr>
          <w:p w:rsidR="003A4342" w:rsidRPr="003A4342" w:rsidRDefault="003A4342" w:rsidP="003A4342">
            <w:pPr>
              <w:jc w:val="center"/>
              <w:rPr>
                <w:rFonts w:ascii="Arial" w:hAnsi="Arial" w:cs="Arial"/>
                <w:b/>
                <w:bCs/>
              </w:rPr>
            </w:pPr>
            <w:r w:rsidRPr="003A4342">
              <w:rPr>
                <w:rFonts w:ascii="Arial" w:hAnsi="Arial" w:cs="Arial"/>
                <w:b/>
                <w:bCs/>
              </w:rPr>
              <w:t>$' 000</w:t>
            </w:r>
          </w:p>
        </w:tc>
      </w:tr>
      <w:tr w:rsidR="003A4342" w:rsidRPr="003A4342" w:rsidTr="00BF4EB0">
        <w:trPr>
          <w:trHeight w:val="510"/>
        </w:trPr>
        <w:tc>
          <w:tcPr>
            <w:tcW w:w="23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jc w:val="both"/>
              <w:rPr>
                <w:rFonts w:ascii="Arial" w:hAnsi="Arial" w:cs="Arial"/>
                <w:b/>
                <w:bCs/>
              </w:rPr>
            </w:pPr>
            <w:r w:rsidRPr="003A4342">
              <w:rPr>
                <w:rFonts w:ascii="Arial" w:hAnsi="Arial" w:cs="Arial"/>
                <w:b/>
                <w:bCs/>
              </w:rPr>
              <w:t>CASH FLOWS FROM OPERATING ACTIVITIES</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trHeight w:val="51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Cash Receipts in the course of Operations</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69,176</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63,387</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64,421</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65,401</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66,557</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68,300</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69,677</w:t>
            </w:r>
          </w:p>
        </w:tc>
      </w:tr>
      <w:tr w:rsidR="003A4342" w:rsidRPr="003A4342" w:rsidTr="00BF4EB0">
        <w:trPr>
          <w:trHeight w:val="54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Cash Payments in the course of Operations</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-60,713</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-57,764</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-59,827</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-61,642</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-63,242</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-65,040</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-66,848</w:t>
            </w:r>
          </w:p>
        </w:tc>
      </w:tr>
      <w:tr w:rsidR="003A4342" w:rsidRPr="003A4342" w:rsidTr="00BF4EB0">
        <w:trPr>
          <w:trHeight w:val="300"/>
        </w:trPr>
        <w:tc>
          <w:tcPr>
            <w:tcW w:w="2359" w:type="dxa"/>
            <w:gridSpan w:val="2"/>
            <w:tcBorders>
              <w:top w:val="nil"/>
              <w:left w:val="single" w:sz="4" w:space="0" w:color="auto"/>
              <w:bottom w:val="single" w:sz="4" w:space="0" w:color="auto"/>
              <w:right w:val="nil"/>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Interest Paid</w:t>
            </w:r>
          </w:p>
        </w:tc>
        <w:tc>
          <w:tcPr>
            <w:tcW w:w="1040" w:type="dxa"/>
            <w:gridSpan w:val="2"/>
            <w:tcBorders>
              <w:top w:val="nil"/>
              <w:left w:val="single" w:sz="4" w:space="0" w:color="auto"/>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-336</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-430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-350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-440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-450</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-460</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-470</w:t>
            </w:r>
          </w:p>
        </w:tc>
      </w:tr>
      <w:tr w:rsidR="003A4342" w:rsidRPr="003A4342" w:rsidTr="00BF4EB0">
        <w:trPr>
          <w:trHeight w:val="285"/>
        </w:trPr>
        <w:tc>
          <w:tcPr>
            <w:tcW w:w="2359" w:type="dxa"/>
            <w:gridSpan w:val="2"/>
            <w:tcBorders>
              <w:top w:val="nil"/>
              <w:left w:val="single" w:sz="4" w:space="0" w:color="auto"/>
              <w:bottom w:val="single" w:sz="4" w:space="0" w:color="auto"/>
              <w:right w:val="nil"/>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Interest Received</w:t>
            </w:r>
          </w:p>
        </w:tc>
        <w:tc>
          <w:tcPr>
            <w:tcW w:w="1040" w:type="dxa"/>
            <w:gridSpan w:val="2"/>
            <w:tcBorders>
              <w:top w:val="nil"/>
              <w:left w:val="single" w:sz="4" w:space="0" w:color="auto"/>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99</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43</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180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140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120</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120</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120</w:t>
            </w:r>
          </w:p>
        </w:tc>
      </w:tr>
      <w:tr w:rsidR="003A4342" w:rsidRPr="003A4342" w:rsidTr="00BF4EB0">
        <w:trPr>
          <w:trHeight w:val="255"/>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trHeight w:val="51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Net Cash Flows from Operating Activities</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8,226</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5,236</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4,424</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3,459</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2,985</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2,920</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2,479</w:t>
            </w:r>
          </w:p>
        </w:tc>
      </w:tr>
      <w:tr w:rsidR="003A4342" w:rsidRPr="003A4342" w:rsidTr="00BF4EB0">
        <w:trPr>
          <w:trHeight w:val="259"/>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trHeight w:val="51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Cash Flows from Investing Activities</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trHeight w:val="255"/>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Payments for Investments</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0</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0</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0</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0</w:t>
            </w:r>
          </w:p>
        </w:tc>
      </w:tr>
      <w:tr w:rsidR="003A4342" w:rsidRPr="003A4342" w:rsidTr="00BF4EB0">
        <w:trPr>
          <w:trHeight w:val="51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Proceeds from Sale of Equipment</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412</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800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800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800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800</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800</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800</w:t>
            </w:r>
          </w:p>
        </w:tc>
      </w:tr>
      <w:tr w:rsidR="003A4342" w:rsidRPr="003A4342" w:rsidTr="00BF4EB0">
        <w:trPr>
          <w:trHeight w:val="51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Payments for Property, Plant and Equipment</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-6,584</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-5,803</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-5,835</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-5,718</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-5,546</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-6,123</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-5,700</w:t>
            </w:r>
          </w:p>
        </w:tc>
      </w:tr>
      <w:tr w:rsidR="003A4342" w:rsidRPr="003A4342" w:rsidTr="00BF4EB0">
        <w:trPr>
          <w:trHeight w:val="259"/>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trHeight w:val="51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Net Cash used in Investing Activities</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-6,172</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-5,003</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-5,035</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-4,918</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-4,746</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-5,323</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-4,900</w:t>
            </w:r>
          </w:p>
        </w:tc>
      </w:tr>
      <w:tr w:rsidR="003A4342" w:rsidRPr="003A4342" w:rsidTr="00BF4EB0">
        <w:trPr>
          <w:trHeight w:val="259"/>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trHeight w:val="51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Cash Flows from Financing Activities</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b/>
                <w:bCs/>
              </w:rPr>
            </w:pPr>
            <w:r w:rsidRPr="003A4342">
              <w:rPr>
                <w:rFonts w:ascii="Arial" w:hAnsi="Arial" w:cs="Arial"/>
                <w:b/>
                <w:bCs/>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b/>
                <w:bCs/>
              </w:rPr>
            </w:pPr>
            <w:r w:rsidRPr="003A4342">
              <w:rPr>
                <w:rFonts w:ascii="Arial" w:hAnsi="Arial" w:cs="Arial"/>
                <w:b/>
                <w:bCs/>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b/>
                <w:bCs/>
              </w:rPr>
            </w:pPr>
            <w:r w:rsidRPr="003A4342">
              <w:rPr>
                <w:rFonts w:ascii="Arial" w:hAnsi="Arial" w:cs="Arial"/>
                <w:b/>
                <w:bCs/>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b/>
                <w:bCs/>
              </w:rPr>
            </w:pPr>
            <w:r w:rsidRPr="003A4342">
              <w:rPr>
                <w:rFonts w:ascii="Arial" w:hAnsi="Arial" w:cs="Arial"/>
                <w:b/>
                <w:bCs/>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b/>
                <w:bCs/>
              </w:rPr>
            </w:pPr>
            <w:r w:rsidRPr="003A4342">
              <w:rPr>
                <w:rFonts w:ascii="Arial" w:hAnsi="Arial" w:cs="Arial"/>
                <w:b/>
                <w:bCs/>
              </w:rPr>
              <w:t> </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b/>
                <w:bCs/>
              </w:rPr>
            </w:pPr>
            <w:r w:rsidRPr="003A4342">
              <w:rPr>
                <w:rFonts w:ascii="Arial" w:hAnsi="Arial" w:cs="Arial"/>
                <w:b/>
                <w:bCs/>
              </w:rPr>
              <w:t> </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b/>
                <w:bCs/>
              </w:rPr>
            </w:pPr>
            <w:r w:rsidRPr="003A4342">
              <w:rPr>
                <w:rFonts w:ascii="Arial" w:hAnsi="Arial" w:cs="Arial"/>
                <w:b/>
                <w:bCs/>
              </w:rPr>
              <w:t> </w:t>
            </w:r>
          </w:p>
        </w:tc>
      </w:tr>
      <w:tr w:rsidR="003A4342" w:rsidRPr="003A4342" w:rsidTr="00BF4EB0">
        <w:trPr>
          <w:trHeight w:val="57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Repayment of Borrowings</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-1,368</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0</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0</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0</w:t>
            </w:r>
          </w:p>
        </w:tc>
      </w:tr>
      <w:tr w:rsidR="003A4342" w:rsidRPr="003A4342" w:rsidTr="00BF4EB0">
        <w:trPr>
          <w:trHeight w:val="57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Proceeds from Loan</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1,368</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trHeight w:val="259"/>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trHeight w:val="51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Net Cash used in Financing Activities</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0</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0</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0</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0</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0</w:t>
            </w:r>
          </w:p>
        </w:tc>
      </w:tr>
      <w:tr w:rsidR="003A4342" w:rsidRPr="003A4342" w:rsidTr="00BF4EB0">
        <w:trPr>
          <w:trHeight w:val="259"/>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trHeight w:val="51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Net Increase /(Decrease) in Cash Held</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2,054</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233</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-611</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-1,459</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rPr>
            </w:pPr>
            <w:r w:rsidRPr="003A4342">
              <w:rPr>
                <w:rFonts w:ascii="Arial" w:hAnsi="Arial" w:cs="Arial"/>
              </w:rPr>
              <w:t>-1,761</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-2,403</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rPr>
            </w:pPr>
            <w:r w:rsidRPr="003A4342">
              <w:rPr>
                <w:rFonts w:ascii="Arial" w:hAnsi="Arial" w:cs="Arial"/>
              </w:rPr>
              <w:t>-2,421</w:t>
            </w:r>
          </w:p>
        </w:tc>
      </w:tr>
      <w:tr w:rsidR="003A4342" w:rsidRPr="003A4342" w:rsidTr="00BF4EB0">
        <w:trPr>
          <w:trHeight w:val="259"/>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trHeight w:val="51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Cash at the Beginning of the Financial Period</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6,884</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6,395</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8,698</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8,087</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6,628</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4,867</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2,464</w:t>
            </w:r>
          </w:p>
        </w:tc>
      </w:tr>
      <w:tr w:rsidR="003A4342" w:rsidRPr="003A4342" w:rsidTr="00BF4EB0">
        <w:trPr>
          <w:trHeight w:val="259"/>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rPr>
                <w:rFonts w:ascii="Arial" w:hAnsi="Arial" w:cs="Arial"/>
              </w:rPr>
            </w:pPr>
            <w:r w:rsidRPr="003A4342">
              <w:rPr>
                <w:rFonts w:ascii="Arial" w:hAnsi="Arial" w:cs="Arial"/>
              </w:rPr>
              <w:t> </w:t>
            </w:r>
          </w:p>
        </w:tc>
      </w:tr>
      <w:tr w:rsidR="003A4342" w:rsidRPr="003A4342" w:rsidTr="00BF4EB0">
        <w:trPr>
          <w:trHeight w:val="510"/>
        </w:trPr>
        <w:tc>
          <w:tcPr>
            <w:tcW w:w="2359" w:type="dxa"/>
            <w:gridSpan w:val="2"/>
            <w:tcBorders>
              <w:top w:val="nil"/>
              <w:left w:val="single" w:sz="4" w:space="0" w:color="auto"/>
              <w:bottom w:val="single" w:sz="4" w:space="0" w:color="auto"/>
              <w:right w:val="single" w:sz="4" w:space="0" w:color="auto"/>
            </w:tcBorders>
            <w:shd w:val="clear" w:color="auto" w:fill="auto"/>
            <w:vAlign w:val="center"/>
            <w:hideMark/>
          </w:tcPr>
          <w:p w:rsidR="003A4342" w:rsidRPr="003A4342" w:rsidRDefault="003A4342" w:rsidP="003A4342">
            <w:pPr>
              <w:rPr>
                <w:rFonts w:ascii="Arial" w:hAnsi="Arial" w:cs="Arial"/>
                <w:b/>
                <w:bCs/>
              </w:rPr>
            </w:pPr>
            <w:r w:rsidRPr="003A4342">
              <w:rPr>
                <w:rFonts w:ascii="Arial" w:hAnsi="Arial" w:cs="Arial"/>
                <w:b/>
                <w:bCs/>
              </w:rPr>
              <w:t>Cash at the end of the Financial Period</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8,938</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6,628</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8,087</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6,628</w:t>
            </w:r>
          </w:p>
        </w:tc>
        <w:tc>
          <w:tcPr>
            <w:tcW w:w="1041" w:type="dxa"/>
            <w:gridSpan w:val="2"/>
            <w:tcBorders>
              <w:top w:val="nil"/>
              <w:left w:val="nil"/>
              <w:bottom w:val="single" w:sz="4" w:space="0" w:color="auto"/>
              <w:right w:val="single" w:sz="4" w:space="0" w:color="auto"/>
            </w:tcBorders>
            <w:shd w:val="clear" w:color="auto" w:fill="auto"/>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4,867</w:t>
            </w:r>
          </w:p>
        </w:tc>
        <w:tc>
          <w:tcPr>
            <w:tcW w:w="1041"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2,464</w:t>
            </w:r>
          </w:p>
        </w:tc>
        <w:tc>
          <w:tcPr>
            <w:tcW w:w="1320" w:type="dxa"/>
            <w:gridSpan w:val="2"/>
            <w:tcBorders>
              <w:top w:val="nil"/>
              <w:left w:val="nil"/>
              <w:bottom w:val="single" w:sz="4" w:space="0" w:color="auto"/>
              <w:right w:val="single" w:sz="4" w:space="0" w:color="auto"/>
            </w:tcBorders>
            <w:shd w:val="clear" w:color="auto" w:fill="EEECE1" w:themeFill="background2"/>
            <w:noWrap/>
            <w:vAlign w:val="center"/>
            <w:hideMark/>
          </w:tcPr>
          <w:p w:rsidR="003A4342" w:rsidRPr="003A4342" w:rsidRDefault="003A4342" w:rsidP="003A4342">
            <w:pPr>
              <w:jc w:val="right"/>
              <w:rPr>
                <w:rFonts w:ascii="Arial" w:hAnsi="Arial" w:cs="Arial"/>
                <w:b/>
                <w:bCs/>
              </w:rPr>
            </w:pPr>
            <w:r w:rsidRPr="003A4342">
              <w:rPr>
                <w:rFonts w:ascii="Arial" w:hAnsi="Arial" w:cs="Arial"/>
                <w:b/>
                <w:bCs/>
              </w:rPr>
              <w:t>43</w:t>
            </w:r>
          </w:p>
        </w:tc>
      </w:tr>
    </w:tbl>
    <w:p w:rsidR="00427853" w:rsidRDefault="00427853" w:rsidP="0099324F">
      <w:pPr>
        <w:spacing w:after="120"/>
        <w:sectPr w:rsidR="00427853" w:rsidSect="009D19B1">
          <w:headerReference w:type="default" r:id="rId21"/>
          <w:headerReference w:type="first" r:id="rId22"/>
          <w:pgSz w:w="11907" w:h="16840" w:code="9"/>
          <w:pgMar w:top="1134" w:right="567" w:bottom="1134" w:left="1134" w:header="720" w:footer="397" w:gutter="284"/>
          <w:pgNumType w:start="25"/>
          <w:cols w:space="720"/>
          <w:titlePg/>
        </w:sectPr>
      </w:pPr>
    </w:p>
    <w:tbl>
      <w:tblPr>
        <w:tblW w:w="9639" w:type="dxa"/>
        <w:tblInd w:w="108" w:type="dxa"/>
        <w:tblLayout w:type="fixed"/>
        <w:tblLook w:val="04A0" w:firstRow="1" w:lastRow="0" w:firstColumn="1" w:lastColumn="0" w:noHBand="0" w:noVBand="1"/>
      </w:tblPr>
      <w:tblGrid>
        <w:gridCol w:w="2533"/>
        <w:gridCol w:w="1016"/>
        <w:gridCol w:w="1015"/>
        <w:gridCol w:w="1015"/>
        <w:gridCol w:w="1015"/>
        <w:gridCol w:w="1015"/>
        <w:gridCol w:w="1015"/>
        <w:gridCol w:w="1015"/>
      </w:tblGrid>
      <w:tr w:rsidR="00303388" w:rsidRPr="00303388" w:rsidTr="00C83B5D">
        <w:trPr>
          <w:trHeight w:val="405"/>
        </w:trPr>
        <w:tc>
          <w:tcPr>
            <w:tcW w:w="992" w:type="dxa"/>
            <w:gridSpan w:val="8"/>
            <w:tcBorders>
              <w:top w:val="nil"/>
              <w:left w:val="nil"/>
              <w:bottom w:val="nil"/>
              <w:right w:val="nil"/>
            </w:tcBorders>
            <w:shd w:val="clear" w:color="auto" w:fill="auto"/>
            <w:noWrap/>
            <w:vAlign w:val="bottom"/>
            <w:hideMark/>
          </w:tcPr>
          <w:p w:rsidR="00303388" w:rsidRPr="00303388" w:rsidRDefault="00303388" w:rsidP="00303388">
            <w:pPr>
              <w:jc w:val="center"/>
              <w:rPr>
                <w:rFonts w:ascii="Arial" w:hAnsi="Arial" w:cs="Arial"/>
                <w:b/>
                <w:bCs/>
                <w:sz w:val="22"/>
                <w:szCs w:val="22"/>
              </w:rPr>
            </w:pPr>
            <w:r w:rsidRPr="00303388">
              <w:rPr>
                <w:rFonts w:ascii="Arial" w:hAnsi="Arial" w:cs="Arial"/>
                <w:b/>
                <w:bCs/>
                <w:sz w:val="22"/>
                <w:szCs w:val="22"/>
              </w:rPr>
              <w:t>STATE FIRE COMMISSION</w:t>
            </w:r>
          </w:p>
        </w:tc>
      </w:tr>
      <w:tr w:rsidR="00303388" w:rsidRPr="00303388" w:rsidTr="00C83B5D">
        <w:trPr>
          <w:trHeight w:val="300"/>
        </w:trPr>
        <w:tc>
          <w:tcPr>
            <w:tcW w:w="992" w:type="dxa"/>
            <w:gridSpan w:val="8"/>
            <w:tcBorders>
              <w:top w:val="nil"/>
              <w:left w:val="nil"/>
              <w:bottom w:val="nil"/>
              <w:right w:val="nil"/>
            </w:tcBorders>
            <w:shd w:val="clear" w:color="auto" w:fill="auto"/>
            <w:noWrap/>
            <w:vAlign w:val="bottom"/>
            <w:hideMark/>
          </w:tcPr>
          <w:p w:rsidR="00303388" w:rsidRPr="00303388" w:rsidRDefault="00303388" w:rsidP="00303388">
            <w:pPr>
              <w:jc w:val="center"/>
              <w:rPr>
                <w:rFonts w:ascii="Arial" w:hAnsi="Arial" w:cs="Arial"/>
                <w:b/>
                <w:bCs/>
              </w:rPr>
            </w:pPr>
            <w:r w:rsidRPr="00303388">
              <w:rPr>
                <w:rFonts w:ascii="Arial" w:hAnsi="Arial" w:cs="Arial"/>
                <w:b/>
                <w:bCs/>
              </w:rPr>
              <w:t>FINANCIAL PLAN - CAPITAL EXPENDITURE</w:t>
            </w:r>
          </w:p>
        </w:tc>
      </w:tr>
      <w:tr w:rsidR="00C83B5D" w:rsidRPr="00303388" w:rsidTr="004C7EF5">
        <w:trPr>
          <w:trHeight w:val="499"/>
        </w:trPr>
        <w:tc>
          <w:tcPr>
            <w:tcW w:w="2474" w:type="dxa"/>
            <w:tcBorders>
              <w:top w:val="nil"/>
              <w:left w:val="nil"/>
              <w:bottom w:val="nil"/>
              <w:right w:val="nil"/>
            </w:tcBorders>
            <w:shd w:val="clear" w:color="auto" w:fill="auto"/>
            <w:noWrap/>
            <w:vAlign w:val="bottom"/>
            <w:hideMark/>
          </w:tcPr>
          <w:p w:rsidR="00303388" w:rsidRPr="00303388" w:rsidRDefault="00303388" w:rsidP="00303388">
            <w:pPr>
              <w:rPr>
                <w:rFonts w:ascii="Arial" w:hAnsi="Arial" w:cs="Arial"/>
              </w:rPr>
            </w:pPr>
          </w:p>
        </w:tc>
        <w:tc>
          <w:tcPr>
            <w:tcW w:w="992" w:type="dxa"/>
            <w:tcBorders>
              <w:top w:val="nil"/>
              <w:left w:val="nil"/>
              <w:bottom w:val="nil"/>
              <w:right w:val="nil"/>
            </w:tcBorders>
            <w:shd w:val="clear" w:color="auto" w:fill="auto"/>
            <w:noWrap/>
            <w:vAlign w:val="bottom"/>
            <w:hideMark/>
          </w:tcPr>
          <w:p w:rsidR="00303388" w:rsidRPr="00303388" w:rsidRDefault="00303388" w:rsidP="00303388">
            <w:pPr>
              <w:rPr>
                <w:rFonts w:ascii="Arial" w:hAnsi="Arial" w:cs="Arial"/>
              </w:rPr>
            </w:pPr>
          </w:p>
        </w:tc>
        <w:tc>
          <w:tcPr>
            <w:tcW w:w="992" w:type="dxa"/>
            <w:tcBorders>
              <w:top w:val="nil"/>
              <w:left w:val="nil"/>
              <w:bottom w:val="single" w:sz="4" w:space="0" w:color="auto"/>
              <w:right w:val="nil"/>
            </w:tcBorders>
            <w:shd w:val="clear" w:color="auto" w:fill="auto"/>
            <w:noWrap/>
            <w:vAlign w:val="bottom"/>
            <w:hideMark/>
          </w:tcPr>
          <w:p w:rsidR="00303388" w:rsidRPr="00303388" w:rsidRDefault="00303388" w:rsidP="00303388">
            <w:pPr>
              <w:rPr>
                <w:rFonts w:ascii="Arial" w:hAnsi="Arial" w:cs="Arial"/>
              </w:rPr>
            </w:pPr>
          </w:p>
        </w:tc>
        <w:tc>
          <w:tcPr>
            <w:tcW w:w="992" w:type="dxa"/>
            <w:tcBorders>
              <w:top w:val="nil"/>
              <w:left w:val="nil"/>
              <w:bottom w:val="nil"/>
              <w:right w:val="nil"/>
            </w:tcBorders>
            <w:shd w:val="clear" w:color="auto" w:fill="auto"/>
            <w:noWrap/>
            <w:vAlign w:val="bottom"/>
            <w:hideMark/>
          </w:tcPr>
          <w:p w:rsidR="00303388" w:rsidRPr="00303388" w:rsidRDefault="00303388" w:rsidP="00303388">
            <w:pPr>
              <w:rPr>
                <w:rFonts w:ascii="Arial" w:hAnsi="Arial" w:cs="Arial"/>
              </w:rPr>
            </w:pPr>
          </w:p>
        </w:tc>
        <w:tc>
          <w:tcPr>
            <w:tcW w:w="992" w:type="dxa"/>
            <w:tcBorders>
              <w:top w:val="nil"/>
              <w:left w:val="nil"/>
              <w:bottom w:val="nil"/>
              <w:right w:val="nil"/>
            </w:tcBorders>
            <w:shd w:val="clear" w:color="auto" w:fill="auto"/>
            <w:noWrap/>
            <w:vAlign w:val="bottom"/>
            <w:hideMark/>
          </w:tcPr>
          <w:p w:rsidR="00303388" w:rsidRPr="00303388" w:rsidRDefault="00303388" w:rsidP="00303388">
            <w:pPr>
              <w:rPr>
                <w:rFonts w:ascii="Arial" w:hAnsi="Arial" w:cs="Arial"/>
              </w:rPr>
            </w:pPr>
          </w:p>
        </w:tc>
        <w:tc>
          <w:tcPr>
            <w:tcW w:w="992" w:type="dxa"/>
            <w:tcBorders>
              <w:top w:val="nil"/>
              <w:left w:val="nil"/>
              <w:bottom w:val="nil"/>
              <w:right w:val="nil"/>
            </w:tcBorders>
            <w:shd w:val="clear" w:color="auto" w:fill="auto"/>
            <w:noWrap/>
            <w:vAlign w:val="bottom"/>
            <w:hideMark/>
          </w:tcPr>
          <w:p w:rsidR="00303388" w:rsidRPr="00303388" w:rsidRDefault="00303388" w:rsidP="00303388">
            <w:pPr>
              <w:rPr>
                <w:rFonts w:ascii="Arial" w:hAnsi="Arial" w:cs="Arial"/>
              </w:rPr>
            </w:pPr>
          </w:p>
        </w:tc>
        <w:tc>
          <w:tcPr>
            <w:tcW w:w="992" w:type="dxa"/>
            <w:tcBorders>
              <w:top w:val="nil"/>
              <w:left w:val="nil"/>
              <w:bottom w:val="single" w:sz="4" w:space="0" w:color="auto"/>
              <w:right w:val="nil"/>
            </w:tcBorders>
            <w:shd w:val="clear" w:color="auto" w:fill="auto"/>
            <w:noWrap/>
            <w:vAlign w:val="bottom"/>
            <w:hideMark/>
          </w:tcPr>
          <w:p w:rsidR="00303388" w:rsidRPr="00303388" w:rsidRDefault="00303388" w:rsidP="00303388">
            <w:pPr>
              <w:rPr>
                <w:rFonts w:ascii="Arial" w:hAnsi="Arial" w:cs="Arial"/>
              </w:rPr>
            </w:pPr>
          </w:p>
        </w:tc>
        <w:tc>
          <w:tcPr>
            <w:tcW w:w="992" w:type="dxa"/>
            <w:tcBorders>
              <w:top w:val="nil"/>
              <w:left w:val="nil"/>
              <w:bottom w:val="single" w:sz="4" w:space="0" w:color="auto"/>
              <w:right w:val="nil"/>
            </w:tcBorders>
            <w:shd w:val="clear" w:color="auto" w:fill="auto"/>
            <w:noWrap/>
            <w:vAlign w:val="bottom"/>
            <w:hideMark/>
          </w:tcPr>
          <w:p w:rsidR="00303388" w:rsidRPr="00303388" w:rsidRDefault="00303388" w:rsidP="00303388">
            <w:pPr>
              <w:rPr>
                <w:rFonts w:ascii="Arial" w:hAnsi="Arial" w:cs="Arial"/>
              </w:rPr>
            </w:pPr>
          </w:p>
        </w:tc>
      </w:tr>
      <w:tr w:rsidR="00C83B5D" w:rsidRPr="00303388" w:rsidTr="00C23EF6">
        <w:trPr>
          <w:trHeight w:val="585"/>
        </w:trPr>
        <w:tc>
          <w:tcPr>
            <w:tcW w:w="2474" w:type="dxa"/>
            <w:tcBorders>
              <w:top w:val="nil"/>
              <w:left w:val="nil"/>
              <w:bottom w:val="nil"/>
              <w:right w:val="nil"/>
            </w:tcBorders>
            <w:shd w:val="clear" w:color="auto" w:fill="auto"/>
            <w:noWrap/>
            <w:vAlign w:val="bottom"/>
            <w:hideMark/>
          </w:tcPr>
          <w:p w:rsidR="00303388" w:rsidRPr="00303388" w:rsidRDefault="00303388" w:rsidP="00303388">
            <w:pPr>
              <w:rPr>
                <w:rFonts w:ascii="Arial" w:hAnsi="Arial" w:cs="Arial"/>
              </w:rPr>
            </w:pPr>
          </w:p>
        </w:tc>
        <w:tc>
          <w:tcPr>
            <w:tcW w:w="992" w:type="dxa"/>
            <w:tcBorders>
              <w:top w:val="single" w:sz="4" w:space="0" w:color="auto"/>
              <w:left w:val="single" w:sz="4" w:space="0" w:color="auto"/>
              <w:bottom w:val="nil"/>
              <w:right w:val="nil"/>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Actual</w:t>
            </w:r>
          </w:p>
        </w:tc>
        <w:tc>
          <w:tcPr>
            <w:tcW w:w="992" w:type="dxa"/>
            <w:tcBorders>
              <w:top w:val="single" w:sz="4" w:space="0" w:color="auto"/>
              <w:left w:val="single" w:sz="4" w:space="0" w:color="auto"/>
              <w:bottom w:val="nil"/>
              <w:right w:val="nil"/>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Base - Budget</w:t>
            </w:r>
          </w:p>
        </w:tc>
        <w:tc>
          <w:tcPr>
            <w:tcW w:w="992" w:type="dxa"/>
            <w:tcBorders>
              <w:top w:val="single" w:sz="4" w:space="0" w:color="auto"/>
              <w:left w:val="single" w:sz="4" w:space="0" w:color="auto"/>
              <w:bottom w:val="nil"/>
              <w:right w:val="single" w:sz="4" w:space="0" w:color="auto"/>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Revised</w:t>
            </w:r>
          </w:p>
        </w:tc>
        <w:tc>
          <w:tcPr>
            <w:tcW w:w="992" w:type="dxa"/>
            <w:tcBorders>
              <w:top w:val="single" w:sz="4" w:space="0" w:color="auto"/>
              <w:left w:val="single" w:sz="4" w:space="0" w:color="auto"/>
              <w:bottom w:val="nil"/>
              <w:right w:val="single" w:sz="4" w:space="0" w:color="auto"/>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Revised</w:t>
            </w:r>
          </w:p>
        </w:tc>
        <w:tc>
          <w:tcPr>
            <w:tcW w:w="992" w:type="dxa"/>
            <w:tcBorders>
              <w:top w:val="single" w:sz="4" w:space="0" w:color="auto"/>
              <w:left w:val="single" w:sz="4" w:space="0" w:color="auto"/>
              <w:bottom w:val="nil"/>
              <w:right w:val="single" w:sz="4" w:space="0" w:color="auto"/>
            </w:tcBorders>
            <w:shd w:val="clear" w:color="auto" w:fill="FFFFFF" w:themeFill="background1"/>
            <w:vAlign w:val="center"/>
            <w:hideMark/>
          </w:tcPr>
          <w:p w:rsidR="00303388" w:rsidRPr="00303388" w:rsidRDefault="00303388" w:rsidP="00303388">
            <w:pPr>
              <w:jc w:val="center"/>
              <w:rPr>
                <w:rFonts w:ascii="Arial" w:hAnsi="Arial" w:cs="Arial"/>
                <w:b/>
                <w:bCs/>
              </w:rPr>
            </w:pPr>
            <w:r w:rsidRPr="00303388">
              <w:rPr>
                <w:rFonts w:ascii="Arial" w:hAnsi="Arial" w:cs="Arial"/>
                <w:b/>
                <w:bCs/>
              </w:rPr>
              <w:t>Revised</w:t>
            </w:r>
          </w:p>
        </w:tc>
        <w:tc>
          <w:tcPr>
            <w:tcW w:w="992" w:type="dxa"/>
            <w:tcBorders>
              <w:top w:val="single" w:sz="4" w:space="0" w:color="auto"/>
              <w:left w:val="single" w:sz="4" w:space="0" w:color="auto"/>
              <w:bottom w:val="nil"/>
              <w:right w:val="single" w:sz="4" w:space="0" w:color="auto"/>
            </w:tcBorders>
            <w:shd w:val="clear" w:color="auto" w:fill="EEECE1" w:themeFill="background2"/>
            <w:vAlign w:val="center"/>
            <w:hideMark/>
          </w:tcPr>
          <w:p w:rsidR="00303388" w:rsidRPr="004C7EF5" w:rsidRDefault="00303388" w:rsidP="00303388">
            <w:pPr>
              <w:jc w:val="center"/>
              <w:rPr>
                <w:rFonts w:ascii="Arial" w:hAnsi="Arial" w:cs="Arial"/>
                <w:b/>
                <w:bCs/>
              </w:rPr>
            </w:pPr>
            <w:r w:rsidRPr="004C7EF5">
              <w:rPr>
                <w:rFonts w:ascii="Arial" w:hAnsi="Arial" w:cs="Arial"/>
                <w:b/>
                <w:bCs/>
              </w:rPr>
              <w:t>Revised</w:t>
            </w:r>
          </w:p>
        </w:tc>
        <w:tc>
          <w:tcPr>
            <w:tcW w:w="992" w:type="dxa"/>
            <w:tcBorders>
              <w:top w:val="single" w:sz="4" w:space="0" w:color="auto"/>
              <w:left w:val="single" w:sz="4" w:space="0" w:color="auto"/>
              <w:bottom w:val="nil"/>
              <w:right w:val="single" w:sz="4" w:space="0" w:color="auto"/>
            </w:tcBorders>
            <w:shd w:val="clear" w:color="auto" w:fill="EEECE1" w:themeFill="background2"/>
            <w:vAlign w:val="center"/>
            <w:hideMark/>
          </w:tcPr>
          <w:p w:rsidR="00303388" w:rsidRPr="00303388" w:rsidRDefault="00303388" w:rsidP="00303388">
            <w:pPr>
              <w:jc w:val="center"/>
              <w:rPr>
                <w:rFonts w:ascii="Arial" w:hAnsi="Arial" w:cs="Arial"/>
                <w:b/>
                <w:bCs/>
              </w:rPr>
            </w:pPr>
            <w:r w:rsidRPr="00303388">
              <w:rPr>
                <w:rFonts w:ascii="Arial" w:hAnsi="Arial" w:cs="Arial"/>
                <w:b/>
                <w:bCs/>
              </w:rPr>
              <w:t>Revised</w:t>
            </w:r>
          </w:p>
        </w:tc>
      </w:tr>
      <w:tr w:rsidR="00C83B5D" w:rsidRPr="00303388" w:rsidTr="00C23EF6">
        <w:trPr>
          <w:trHeight w:val="285"/>
        </w:trPr>
        <w:tc>
          <w:tcPr>
            <w:tcW w:w="2474" w:type="dxa"/>
            <w:tcBorders>
              <w:top w:val="nil"/>
              <w:left w:val="nil"/>
              <w:bottom w:val="nil"/>
              <w:right w:val="nil"/>
            </w:tcBorders>
            <w:shd w:val="clear" w:color="auto" w:fill="auto"/>
            <w:noWrap/>
            <w:vAlign w:val="bottom"/>
            <w:hideMark/>
          </w:tcPr>
          <w:p w:rsidR="00303388" w:rsidRPr="00303388" w:rsidRDefault="00303388" w:rsidP="00303388">
            <w:pPr>
              <w:rPr>
                <w:rFonts w:ascii="Arial" w:hAnsi="Arial" w:cs="Arial"/>
              </w:rPr>
            </w:pPr>
          </w:p>
        </w:tc>
        <w:tc>
          <w:tcPr>
            <w:tcW w:w="992" w:type="dxa"/>
            <w:tcBorders>
              <w:top w:val="nil"/>
              <w:left w:val="single" w:sz="4" w:space="0" w:color="auto"/>
              <w:bottom w:val="nil"/>
              <w:right w:val="nil"/>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2009-10</w:t>
            </w:r>
          </w:p>
        </w:tc>
        <w:tc>
          <w:tcPr>
            <w:tcW w:w="992" w:type="dxa"/>
            <w:tcBorders>
              <w:top w:val="nil"/>
              <w:left w:val="single" w:sz="4" w:space="0" w:color="auto"/>
              <w:bottom w:val="nil"/>
              <w:right w:val="single" w:sz="4" w:space="0" w:color="auto"/>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2010-11</w:t>
            </w:r>
          </w:p>
        </w:tc>
        <w:tc>
          <w:tcPr>
            <w:tcW w:w="992" w:type="dxa"/>
            <w:tcBorders>
              <w:top w:val="nil"/>
              <w:left w:val="single" w:sz="4" w:space="0" w:color="auto"/>
              <w:bottom w:val="nil"/>
              <w:right w:val="single" w:sz="4" w:space="0" w:color="auto"/>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2011-12</w:t>
            </w:r>
          </w:p>
        </w:tc>
        <w:tc>
          <w:tcPr>
            <w:tcW w:w="992" w:type="dxa"/>
            <w:tcBorders>
              <w:top w:val="nil"/>
              <w:left w:val="nil"/>
              <w:bottom w:val="nil"/>
              <w:right w:val="single" w:sz="4" w:space="0" w:color="auto"/>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2012-13</w:t>
            </w:r>
          </w:p>
        </w:tc>
        <w:tc>
          <w:tcPr>
            <w:tcW w:w="992" w:type="dxa"/>
            <w:tcBorders>
              <w:top w:val="nil"/>
              <w:left w:val="nil"/>
              <w:bottom w:val="nil"/>
              <w:right w:val="single" w:sz="4" w:space="0" w:color="auto"/>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2013-14</w:t>
            </w:r>
          </w:p>
        </w:tc>
        <w:tc>
          <w:tcPr>
            <w:tcW w:w="992" w:type="dxa"/>
            <w:tcBorders>
              <w:top w:val="nil"/>
              <w:left w:val="nil"/>
              <w:bottom w:val="nil"/>
              <w:right w:val="single" w:sz="4" w:space="0" w:color="auto"/>
            </w:tcBorders>
            <w:shd w:val="clear" w:color="auto" w:fill="EEECE1" w:themeFill="background2"/>
            <w:vAlign w:val="center"/>
            <w:hideMark/>
          </w:tcPr>
          <w:p w:rsidR="00303388" w:rsidRPr="00303388" w:rsidRDefault="00303388" w:rsidP="00303388">
            <w:pPr>
              <w:jc w:val="center"/>
              <w:rPr>
                <w:rFonts w:ascii="Arial" w:hAnsi="Arial" w:cs="Arial"/>
                <w:b/>
                <w:bCs/>
              </w:rPr>
            </w:pPr>
            <w:r w:rsidRPr="00303388">
              <w:rPr>
                <w:rFonts w:ascii="Arial" w:hAnsi="Arial" w:cs="Arial"/>
                <w:b/>
                <w:bCs/>
              </w:rPr>
              <w:t>2014-15</w:t>
            </w:r>
          </w:p>
        </w:tc>
        <w:tc>
          <w:tcPr>
            <w:tcW w:w="992" w:type="dxa"/>
            <w:tcBorders>
              <w:top w:val="nil"/>
              <w:left w:val="nil"/>
              <w:bottom w:val="nil"/>
              <w:right w:val="single" w:sz="4" w:space="0" w:color="auto"/>
            </w:tcBorders>
            <w:shd w:val="clear" w:color="auto" w:fill="EEECE1" w:themeFill="background2"/>
            <w:vAlign w:val="center"/>
            <w:hideMark/>
          </w:tcPr>
          <w:p w:rsidR="00303388" w:rsidRPr="00303388" w:rsidRDefault="00303388" w:rsidP="00303388">
            <w:pPr>
              <w:jc w:val="center"/>
              <w:rPr>
                <w:rFonts w:ascii="Arial" w:hAnsi="Arial" w:cs="Arial"/>
                <w:b/>
                <w:bCs/>
              </w:rPr>
            </w:pPr>
            <w:r w:rsidRPr="00303388">
              <w:rPr>
                <w:rFonts w:ascii="Arial" w:hAnsi="Arial" w:cs="Arial"/>
                <w:b/>
                <w:bCs/>
              </w:rPr>
              <w:t>2015-16</w:t>
            </w:r>
          </w:p>
        </w:tc>
      </w:tr>
      <w:tr w:rsidR="00C83B5D" w:rsidRPr="00303388" w:rsidTr="00C23EF6">
        <w:trPr>
          <w:trHeight w:val="285"/>
        </w:trPr>
        <w:tc>
          <w:tcPr>
            <w:tcW w:w="2474" w:type="dxa"/>
            <w:tcBorders>
              <w:top w:val="nil"/>
              <w:left w:val="nil"/>
              <w:bottom w:val="nil"/>
              <w:right w:val="nil"/>
            </w:tcBorders>
            <w:shd w:val="clear" w:color="auto" w:fill="auto"/>
            <w:noWrap/>
            <w:vAlign w:val="bottom"/>
            <w:hideMark/>
          </w:tcPr>
          <w:p w:rsidR="00303388" w:rsidRPr="00303388" w:rsidRDefault="00303388" w:rsidP="00303388">
            <w:pPr>
              <w:rPr>
                <w:rFonts w:ascii="Arial" w:hAnsi="Arial" w:cs="Arial"/>
              </w:rPr>
            </w:pPr>
          </w:p>
        </w:tc>
        <w:tc>
          <w:tcPr>
            <w:tcW w:w="992" w:type="dxa"/>
            <w:tcBorders>
              <w:top w:val="nil"/>
              <w:left w:val="single" w:sz="4" w:space="0" w:color="auto"/>
              <w:bottom w:val="single" w:sz="4" w:space="0" w:color="auto"/>
              <w:right w:val="nil"/>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 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 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 000</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 000</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b/>
                <w:bCs/>
              </w:rPr>
            </w:pPr>
            <w:r w:rsidRPr="00303388">
              <w:rPr>
                <w:rFonts w:ascii="Arial" w:hAnsi="Arial" w:cs="Arial"/>
                <w:b/>
                <w:bCs/>
              </w:rPr>
              <w:t>$' 000</w:t>
            </w:r>
          </w:p>
        </w:tc>
        <w:tc>
          <w:tcPr>
            <w:tcW w:w="992" w:type="dxa"/>
            <w:tcBorders>
              <w:top w:val="nil"/>
              <w:left w:val="nil"/>
              <w:bottom w:val="single" w:sz="4" w:space="0" w:color="auto"/>
              <w:right w:val="single" w:sz="4" w:space="0" w:color="auto"/>
            </w:tcBorders>
            <w:shd w:val="clear" w:color="auto" w:fill="EEECE1" w:themeFill="background2"/>
            <w:vAlign w:val="center"/>
            <w:hideMark/>
          </w:tcPr>
          <w:p w:rsidR="00303388" w:rsidRPr="00303388" w:rsidRDefault="00303388" w:rsidP="00303388">
            <w:pPr>
              <w:jc w:val="center"/>
              <w:rPr>
                <w:rFonts w:ascii="Arial" w:hAnsi="Arial" w:cs="Arial"/>
                <w:b/>
                <w:bCs/>
              </w:rPr>
            </w:pPr>
            <w:r w:rsidRPr="00303388">
              <w:rPr>
                <w:rFonts w:ascii="Arial" w:hAnsi="Arial" w:cs="Arial"/>
                <w:b/>
                <w:bCs/>
              </w:rPr>
              <w:t>$' 000</w:t>
            </w:r>
          </w:p>
        </w:tc>
        <w:tc>
          <w:tcPr>
            <w:tcW w:w="992" w:type="dxa"/>
            <w:tcBorders>
              <w:top w:val="nil"/>
              <w:left w:val="nil"/>
              <w:bottom w:val="single" w:sz="4" w:space="0" w:color="auto"/>
              <w:right w:val="single" w:sz="4" w:space="0" w:color="auto"/>
            </w:tcBorders>
            <w:shd w:val="clear" w:color="auto" w:fill="EEECE1" w:themeFill="background2"/>
            <w:vAlign w:val="center"/>
            <w:hideMark/>
          </w:tcPr>
          <w:p w:rsidR="00303388" w:rsidRPr="00303388" w:rsidRDefault="00303388" w:rsidP="00303388">
            <w:pPr>
              <w:jc w:val="center"/>
              <w:rPr>
                <w:rFonts w:ascii="Arial" w:hAnsi="Arial" w:cs="Arial"/>
                <w:b/>
                <w:bCs/>
              </w:rPr>
            </w:pPr>
            <w:r w:rsidRPr="00303388">
              <w:rPr>
                <w:rFonts w:ascii="Arial" w:hAnsi="Arial" w:cs="Arial"/>
                <w:b/>
                <w:bCs/>
              </w:rPr>
              <w:t>$' 000</w:t>
            </w:r>
          </w:p>
        </w:tc>
      </w:tr>
      <w:tr w:rsidR="00C83B5D" w:rsidRPr="00303388" w:rsidTr="00C23EF6">
        <w:trPr>
          <w:trHeight w:val="915"/>
        </w:trPr>
        <w:tc>
          <w:tcPr>
            <w:tcW w:w="2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388" w:rsidRPr="00C83B5D" w:rsidRDefault="00303388" w:rsidP="00303388">
            <w:pPr>
              <w:jc w:val="both"/>
              <w:rPr>
                <w:rFonts w:ascii="Arial Narrow" w:hAnsi="Arial Narrow" w:cs="Arial"/>
                <w:b/>
                <w:bCs/>
              </w:rPr>
            </w:pPr>
            <w:r w:rsidRPr="00C83B5D">
              <w:rPr>
                <w:rFonts w:ascii="Arial Narrow" w:hAnsi="Arial Narrow" w:cs="Arial"/>
                <w:b/>
                <w:bCs/>
              </w:rPr>
              <w:t xml:space="preserve">CAPITAL EXPENDITURE  </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 </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 </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 </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 </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 </w:t>
            </w:r>
          </w:p>
        </w:tc>
        <w:tc>
          <w:tcPr>
            <w:tcW w:w="992" w:type="dxa"/>
            <w:tcBorders>
              <w:top w:val="nil"/>
              <w:left w:val="nil"/>
              <w:bottom w:val="single" w:sz="4" w:space="0" w:color="auto"/>
              <w:right w:val="single" w:sz="4" w:space="0" w:color="auto"/>
            </w:tcBorders>
            <w:shd w:val="clear" w:color="auto" w:fill="EEECE1" w:themeFill="background2"/>
            <w:vAlign w:val="center"/>
            <w:hideMark/>
          </w:tcPr>
          <w:p w:rsidR="00303388" w:rsidRPr="00303388" w:rsidRDefault="00303388" w:rsidP="00303388">
            <w:pPr>
              <w:jc w:val="center"/>
              <w:rPr>
                <w:rFonts w:ascii="Arial" w:hAnsi="Arial" w:cs="Arial"/>
              </w:rPr>
            </w:pPr>
            <w:r w:rsidRPr="00303388">
              <w:rPr>
                <w:rFonts w:ascii="Arial" w:hAnsi="Arial" w:cs="Arial"/>
              </w:rPr>
              <w:t> </w:t>
            </w:r>
          </w:p>
        </w:tc>
        <w:tc>
          <w:tcPr>
            <w:tcW w:w="992" w:type="dxa"/>
            <w:tcBorders>
              <w:top w:val="nil"/>
              <w:left w:val="nil"/>
              <w:bottom w:val="single" w:sz="4" w:space="0" w:color="auto"/>
              <w:right w:val="single" w:sz="4" w:space="0" w:color="auto"/>
            </w:tcBorders>
            <w:shd w:val="clear" w:color="auto" w:fill="EEECE1" w:themeFill="background2"/>
            <w:vAlign w:val="center"/>
            <w:hideMark/>
          </w:tcPr>
          <w:p w:rsidR="00303388" w:rsidRPr="00303388" w:rsidRDefault="00303388" w:rsidP="00303388">
            <w:pPr>
              <w:jc w:val="center"/>
              <w:rPr>
                <w:rFonts w:ascii="Arial" w:hAnsi="Arial" w:cs="Arial"/>
              </w:rPr>
            </w:pPr>
            <w:r w:rsidRPr="00303388">
              <w:rPr>
                <w:rFonts w:ascii="Arial" w:hAnsi="Arial" w:cs="Arial"/>
              </w:rPr>
              <w:t> </w:t>
            </w:r>
          </w:p>
        </w:tc>
      </w:tr>
      <w:tr w:rsidR="00C83B5D" w:rsidRPr="00303388" w:rsidTr="00C23EF6">
        <w:trPr>
          <w:trHeight w:val="915"/>
        </w:trPr>
        <w:tc>
          <w:tcPr>
            <w:tcW w:w="2474" w:type="dxa"/>
            <w:tcBorders>
              <w:top w:val="nil"/>
              <w:left w:val="single" w:sz="4" w:space="0" w:color="auto"/>
              <w:bottom w:val="single" w:sz="4" w:space="0" w:color="auto"/>
              <w:right w:val="single" w:sz="4" w:space="0" w:color="auto"/>
            </w:tcBorders>
            <w:shd w:val="clear" w:color="auto" w:fill="auto"/>
            <w:vAlign w:val="center"/>
            <w:hideMark/>
          </w:tcPr>
          <w:p w:rsidR="00303388" w:rsidRPr="00C83B5D" w:rsidRDefault="00303388" w:rsidP="00303388">
            <w:pPr>
              <w:jc w:val="both"/>
              <w:rPr>
                <w:rFonts w:ascii="Arial Narrow" w:hAnsi="Arial Narrow" w:cs="Arial"/>
                <w:b/>
                <w:bCs/>
              </w:rPr>
            </w:pPr>
            <w:r w:rsidRPr="00C83B5D">
              <w:rPr>
                <w:rFonts w:ascii="Arial Narrow" w:hAnsi="Arial Narrow" w:cs="Arial"/>
                <w:b/>
                <w:bCs/>
              </w:rPr>
              <w:t>Land and Buildings</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640</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640</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775</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740</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715</w:t>
            </w:r>
          </w:p>
        </w:tc>
        <w:tc>
          <w:tcPr>
            <w:tcW w:w="992" w:type="dxa"/>
            <w:tcBorders>
              <w:top w:val="nil"/>
              <w:left w:val="nil"/>
              <w:bottom w:val="single" w:sz="4" w:space="0" w:color="auto"/>
              <w:right w:val="single" w:sz="4" w:space="0" w:color="auto"/>
            </w:tcBorders>
            <w:shd w:val="clear" w:color="auto" w:fill="EEECE1" w:themeFill="background2"/>
            <w:vAlign w:val="center"/>
            <w:hideMark/>
          </w:tcPr>
          <w:p w:rsidR="00303388" w:rsidRPr="00303388" w:rsidRDefault="00303388" w:rsidP="00303388">
            <w:pPr>
              <w:jc w:val="center"/>
              <w:rPr>
                <w:rFonts w:ascii="Arial" w:hAnsi="Arial" w:cs="Arial"/>
              </w:rPr>
            </w:pPr>
            <w:r w:rsidRPr="00303388">
              <w:rPr>
                <w:rFonts w:ascii="Arial" w:hAnsi="Arial" w:cs="Arial"/>
              </w:rPr>
              <w:t>1,165</w:t>
            </w:r>
          </w:p>
        </w:tc>
        <w:tc>
          <w:tcPr>
            <w:tcW w:w="992" w:type="dxa"/>
            <w:tcBorders>
              <w:top w:val="nil"/>
              <w:left w:val="nil"/>
              <w:bottom w:val="single" w:sz="4" w:space="0" w:color="auto"/>
              <w:right w:val="single" w:sz="4" w:space="0" w:color="auto"/>
            </w:tcBorders>
            <w:shd w:val="clear" w:color="auto" w:fill="EEECE1" w:themeFill="background2"/>
            <w:vAlign w:val="center"/>
            <w:hideMark/>
          </w:tcPr>
          <w:p w:rsidR="00303388" w:rsidRPr="00303388" w:rsidRDefault="00303388" w:rsidP="00303388">
            <w:pPr>
              <w:jc w:val="center"/>
              <w:rPr>
                <w:rFonts w:ascii="Arial" w:hAnsi="Arial" w:cs="Arial"/>
              </w:rPr>
            </w:pPr>
            <w:r w:rsidRPr="00303388">
              <w:rPr>
                <w:rFonts w:ascii="Arial" w:hAnsi="Arial" w:cs="Arial"/>
              </w:rPr>
              <w:t>770</w:t>
            </w:r>
          </w:p>
        </w:tc>
      </w:tr>
      <w:tr w:rsidR="00C83B5D" w:rsidRPr="00303388" w:rsidTr="00C23EF6">
        <w:trPr>
          <w:trHeight w:val="915"/>
        </w:trPr>
        <w:tc>
          <w:tcPr>
            <w:tcW w:w="2474" w:type="dxa"/>
            <w:tcBorders>
              <w:top w:val="nil"/>
              <w:left w:val="single" w:sz="4" w:space="0" w:color="auto"/>
              <w:bottom w:val="single" w:sz="4" w:space="0" w:color="auto"/>
              <w:right w:val="single" w:sz="4" w:space="0" w:color="auto"/>
            </w:tcBorders>
            <w:shd w:val="clear" w:color="auto" w:fill="auto"/>
            <w:vAlign w:val="center"/>
            <w:hideMark/>
          </w:tcPr>
          <w:p w:rsidR="00303388" w:rsidRPr="00C83B5D" w:rsidRDefault="00303388" w:rsidP="00257DE6">
            <w:pPr>
              <w:rPr>
                <w:rFonts w:ascii="Arial Narrow" w:hAnsi="Arial Narrow" w:cs="Arial"/>
                <w:b/>
                <w:bCs/>
              </w:rPr>
            </w:pPr>
            <w:r w:rsidRPr="00C83B5D">
              <w:rPr>
                <w:rFonts w:ascii="Arial Narrow" w:hAnsi="Arial Narrow" w:cs="Arial"/>
                <w:b/>
                <w:bCs/>
              </w:rPr>
              <w:t xml:space="preserve">Motor Vehicles and </w:t>
            </w:r>
            <w:r w:rsidR="00257DE6">
              <w:rPr>
                <w:rFonts w:ascii="Arial Narrow" w:hAnsi="Arial Narrow" w:cs="Arial"/>
                <w:b/>
                <w:bCs/>
              </w:rPr>
              <w:t>Fire Trucks</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4,400</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3,700</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4C7EF5" w:rsidP="004C7EF5">
            <w:pPr>
              <w:jc w:val="center"/>
              <w:rPr>
                <w:rFonts w:ascii="Arial" w:hAnsi="Arial" w:cs="Arial"/>
              </w:rPr>
            </w:pPr>
            <w:r>
              <w:rPr>
                <w:rFonts w:ascii="Arial" w:hAnsi="Arial" w:cs="Arial"/>
              </w:rPr>
              <w:t>1</w:t>
            </w:r>
            <w:r w:rsidR="00303388" w:rsidRPr="00303388">
              <w:rPr>
                <w:rFonts w:ascii="Arial" w:hAnsi="Arial" w:cs="Arial"/>
              </w:rPr>
              <w:t>,</w:t>
            </w:r>
            <w:r>
              <w:rPr>
                <w:rFonts w:ascii="Arial" w:hAnsi="Arial" w:cs="Arial"/>
              </w:rPr>
              <w:t>41</w:t>
            </w:r>
            <w:r w:rsidR="00303388" w:rsidRPr="00303388">
              <w:rPr>
                <w:rFonts w:ascii="Arial" w:hAnsi="Arial" w:cs="Arial"/>
              </w:rPr>
              <w:t>5</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4C7EF5" w:rsidP="00303388">
            <w:pPr>
              <w:jc w:val="center"/>
              <w:rPr>
                <w:rFonts w:ascii="Arial" w:hAnsi="Arial" w:cs="Arial"/>
              </w:rPr>
            </w:pPr>
            <w:r>
              <w:rPr>
                <w:rFonts w:ascii="Arial" w:hAnsi="Arial" w:cs="Arial"/>
              </w:rPr>
              <w:t>9</w:t>
            </w:r>
            <w:r w:rsidR="00303388" w:rsidRPr="00303388">
              <w:rPr>
                <w:rFonts w:ascii="Arial" w:hAnsi="Arial" w:cs="Arial"/>
              </w:rPr>
              <w:t>50</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4C7EF5" w:rsidP="00303388">
            <w:pPr>
              <w:jc w:val="center"/>
              <w:rPr>
                <w:rFonts w:ascii="Arial" w:hAnsi="Arial" w:cs="Arial"/>
              </w:rPr>
            </w:pPr>
            <w:r>
              <w:rPr>
                <w:rFonts w:ascii="Arial" w:hAnsi="Arial" w:cs="Arial"/>
              </w:rPr>
              <w:t>3,60</w:t>
            </w:r>
            <w:r w:rsidR="00303388" w:rsidRPr="00303388">
              <w:rPr>
                <w:rFonts w:ascii="Arial" w:hAnsi="Arial" w:cs="Arial"/>
              </w:rPr>
              <w:t>0</w:t>
            </w:r>
          </w:p>
        </w:tc>
        <w:tc>
          <w:tcPr>
            <w:tcW w:w="992" w:type="dxa"/>
            <w:tcBorders>
              <w:top w:val="nil"/>
              <w:left w:val="nil"/>
              <w:bottom w:val="single" w:sz="4" w:space="0" w:color="auto"/>
              <w:right w:val="single" w:sz="4" w:space="0" w:color="auto"/>
            </w:tcBorders>
            <w:shd w:val="clear" w:color="auto" w:fill="EEECE1" w:themeFill="background2"/>
            <w:vAlign w:val="center"/>
            <w:hideMark/>
          </w:tcPr>
          <w:p w:rsidR="00303388" w:rsidRPr="00303388" w:rsidRDefault="00303388" w:rsidP="00303388">
            <w:pPr>
              <w:jc w:val="center"/>
              <w:rPr>
                <w:rFonts w:ascii="Arial" w:hAnsi="Arial" w:cs="Arial"/>
              </w:rPr>
            </w:pPr>
            <w:r w:rsidRPr="00303388">
              <w:rPr>
                <w:rFonts w:ascii="Arial" w:hAnsi="Arial" w:cs="Arial"/>
              </w:rPr>
              <w:t>4,000</w:t>
            </w:r>
          </w:p>
        </w:tc>
        <w:tc>
          <w:tcPr>
            <w:tcW w:w="992" w:type="dxa"/>
            <w:tcBorders>
              <w:top w:val="nil"/>
              <w:left w:val="nil"/>
              <w:bottom w:val="single" w:sz="4" w:space="0" w:color="auto"/>
              <w:right w:val="single" w:sz="4" w:space="0" w:color="auto"/>
            </w:tcBorders>
            <w:shd w:val="clear" w:color="auto" w:fill="EEECE1" w:themeFill="background2"/>
            <w:vAlign w:val="center"/>
            <w:hideMark/>
          </w:tcPr>
          <w:p w:rsidR="00303388" w:rsidRPr="00303388" w:rsidRDefault="00303388" w:rsidP="00303388">
            <w:pPr>
              <w:jc w:val="center"/>
              <w:rPr>
                <w:rFonts w:ascii="Arial" w:hAnsi="Arial" w:cs="Arial"/>
              </w:rPr>
            </w:pPr>
            <w:r w:rsidRPr="00303388">
              <w:rPr>
                <w:rFonts w:ascii="Arial" w:hAnsi="Arial" w:cs="Arial"/>
              </w:rPr>
              <w:t>4,000</w:t>
            </w:r>
          </w:p>
        </w:tc>
      </w:tr>
      <w:tr w:rsidR="00C83B5D" w:rsidRPr="00303388" w:rsidTr="00C23EF6">
        <w:trPr>
          <w:trHeight w:val="915"/>
        </w:trPr>
        <w:tc>
          <w:tcPr>
            <w:tcW w:w="2474" w:type="dxa"/>
            <w:tcBorders>
              <w:top w:val="nil"/>
              <w:left w:val="single" w:sz="4" w:space="0" w:color="auto"/>
              <w:bottom w:val="single" w:sz="4" w:space="0" w:color="auto"/>
              <w:right w:val="single" w:sz="4" w:space="0" w:color="auto"/>
            </w:tcBorders>
            <w:shd w:val="clear" w:color="auto" w:fill="auto"/>
            <w:vAlign w:val="center"/>
            <w:hideMark/>
          </w:tcPr>
          <w:p w:rsidR="00303388" w:rsidRPr="00C83B5D" w:rsidRDefault="00303388" w:rsidP="00303388">
            <w:pPr>
              <w:rPr>
                <w:rFonts w:ascii="Arial Narrow" w:hAnsi="Arial Narrow" w:cs="Arial"/>
                <w:b/>
                <w:bCs/>
              </w:rPr>
            </w:pPr>
            <w:r w:rsidRPr="00C83B5D">
              <w:rPr>
                <w:rFonts w:ascii="Arial Narrow" w:hAnsi="Arial Narrow" w:cs="Arial"/>
                <w:b/>
                <w:bCs/>
              </w:rPr>
              <w:t>Plant and Equipment</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750</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1,223</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1,045</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1,428</w:t>
            </w:r>
          </w:p>
        </w:tc>
        <w:tc>
          <w:tcPr>
            <w:tcW w:w="992" w:type="dxa"/>
            <w:tcBorders>
              <w:top w:val="nil"/>
              <w:left w:val="nil"/>
              <w:bottom w:val="single" w:sz="4" w:space="0" w:color="auto"/>
              <w:right w:val="single" w:sz="4" w:space="0" w:color="auto"/>
            </w:tcBorders>
            <w:shd w:val="clear" w:color="auto" w:fill="auto"/>
            <w:vAlign w:val="center"/>
            <w:hideMark/>
          </w:tcPr>
          <w:p w:rsidR="00303388" w:rsidRPr="00303388" w:rsidRDefault="00303388" w:rsidP="00303388">
            <w:pPr>
              <w:jc w:val="center"/>
              <w:rPr>
                <w:rFonts w:ascii="Arial" w:hAnsi="Arial" w:cs="Arial"/>
              </w:rPr>
            </w:pPr>
            <w:r w:rsidRPr="00303388">
              <w:rPr>
                <w:rFonts w:ascii="Arial" w:hAnsi="Arial" w:cs="Arial"/>
              </w:rPr>
              <w:t>1,231</w:t>
            </w:r>
          </w:p>
        </w:tc>
        <w:tc>
          <w:tcPr>
            <w:tcW w:w="992" w:type="dxa"/>
            <w:tcBorders>
              <w:top w:val="nil"/>
              <w:left w:val="nil"/>
              <w:bottom w:val="single" w:sz="4" w:space="0" w:color="auto"/>
              <w:right w:val="single" w:sz="4" w:space="0" w:color="auto"/>
            </w:tcBorders>
            <w:shd w:val="clear" w:color="auto" w:fill="EEECE1" w:themeFill="background2"/>
            <w:vAlign w:val="center"/>
            <w:hideMark/>
          </w:tcPr>
          <w:p w:rsidR="00303388" w:rsidRPr="00303388" w:rsidRDefault="00303388" w:rsidP="00303388">
            <w:pPr>
              <w:jc w:val="center"/>
              <w:rPr>
                <w:rFonts w:ascii="Arial" w:hAnsi="Arial" w:cs="Arial"/>
              </w:rPr>
            </w:pPr>
            <w:r w:rsidRPr="00303388">
              <w:rPr>
                <w:rFonts w:ascii="Arial" w:hAnsi="Arial" w:cs="Arial"/>
              </w:rPr>
              <w:t>958</w:t>
            </w:r>
          </w:p>
        </w:tc>
        <w:tc>
          <w:tcPr>
            <w:tcW w:w="992" w:type="dxa"/>
            <w:tcBorders>
              <w:top w:val="nil"/>
              <w:left w:val="nil"/>
              <w:bottom w:val="single" w:sz="4" w:space="0" w:color="auto"/>
              <w:right w:val="single" w:sz="4" w:space="0" w:color="auto"/>
            </w:tcBorders>
            <w:shd w:val="clear" w:color="auto" w:fill="EEECE1" w:themeFill="background2"/>
            <w:vAlign w:val="center"/>
            <w:hideMark/>
          </w:tcPr>
          <w:p w:rsidR="00303388" w:rsidRPr="00303388" w:rsidRDefault="00303388" w:rsidP="00303388">
            <w:pPr>
              <w:jc w:val="center"/>
              <w:rPr>
                <w:rFonts w:ascii="Arial" w:hAnsi="Arial" w:cs="Arial"/>
              </w:rPr>
            </w:pPr>
            <w:r w:rsidRPr="00303388">
              <w:rPr>
                <w:rFonts w:ascii="Arial" w:hAnsi="Arial" w:cs="Arial"/>
              </w:rPr>
              <w:t>930</w:t>
            </w:r>
          </w:p>
        </w:tc>
      </w:tr>
      <w:tr w:rsidR="00C83B5D" w:rsidRPr="00303388" w:rsidTr="00C23EF6">
        <w:trPr>
          <w:trHeight w:val="559"/>
        </w:trPr>
        <w:tc>
          <w:tcPr>
            <w:tcW w:w="2474" w:type="dxa"/>
            <w:tcBorders>
              <w:top w:val="nil"/>
              <w:left w:val="single" w:sz="4" w:space="0" w:color="auto"/>
              <w:bottom w:val="single" w:sz="4" w:space="0" w:color="auto"/>
              <w:right w:val="single" w:sz="4" w:space="0" w:color="auto"/>
            </w:tcBorders>
            <w:shd w:val="clear" w:color="auto" w:fill="auto"/>
            <w:vAlign w:val="center"/>
            <w:hideMark/>
          </w:tcPr>
          <w:p w:rsidR="00303388" w:rsidRPr="00C83B5D" w:rsidRDefault="00303388" w:rsidP="00303388">
            <w:pPr>
              <w:rPr>
                <w:rFonts w:ascii="Arial Narrow" w:hAnsi="Arial Narrow" w:cs="Arial"/>
                <w:b/>
                <w:bCs/>
              </w:rPr>
            </w:pPr>
            <w:r w:rsidRPr="00C83B5D">
              <w:rPr>
                <w:rFonts w:ascii="Arial Narrow" w:hAnsi="Arial Narrow" w:cs="Arial"/>
                <w:b/>
                <w:bCs/>
              </w:rPr>
              <w:t>TOTAL</w:t>
            </w:r>
          </w:p>
        </w:tc>
        <w:tc>
          <w:tcPr>
            <w:tcW w:w="992" w:type="dxa"/>
            <w:tcBorders>
              <w:top w:val="nil"/>
              <w:left w:val="nil"/>
              <w:bottom w:val="single" w:sz="4" w:space="0" w:color="auto"/>
              <w:right w:val="single" w:sz="4" w:space="0" w:color="auto"/>
            </w:tcBorders>
            <w:shd w:val="clear" w:color="auto" w:fill="auto"/>
            <w:noWrap/>
            <w:vAlign w:val="center"/>
            <w:hideMark/>
          </w:tcPr>
          <w:p w:rsidR="00303388" w:rsidRPr="00303388" w:rsidRDefault="00303388" w:rsidP="00303388">
            <w:pPr>
              <w:jc w:val="center"/>
              <w:rPr>
                <w:rFonts w:ascii="Arial" w:hAnsi="Arial" w:cs="Arial"/>
              </w:rPr>
            </w:pPr>
            <w:r w:rsidRPr="00303388">
              <w:rPr>
                <w:rFonts w:ascii="Arial" w:hAnsi="Arial" w:cs="Arial"/>
              </w:rPr>
              <w:t>5,790</w:t>
            </w:r>
          </w:p>
        </w:tc>
        <w:tc>
          <w:tcPr>
            <w:tcW w:w="992" w:type="dxa"/>
            <w:tcBorders>
              <w:top w:val="nil"/>
              <w:left w:val="nil"/>
              <w:bottom w:val="single" w:sz="4" w:space="0" w:color="auto"/>
              <w:right w:val="single" w:sz="4" w:space="0" w:color="auto"/>
            </w:tcBorders>
            <w:shd w:val="clear" w:color="auto" w:fill="auto"/>
            <w:noWrap/>
            <w:vAlign w:val="center"/>
            <w:hideMark/>
          </w:tcPr>
          <w:p w:rsidR="00303388" w:rsidRPr="00303388" w:rsidRDefault="00303388" w:rsidP="00303388">
            <w:pPr>
              <w:jc w:val="center"/>
              <w:rPr>
                <w:rFonts w:ascii="Arial" w:hAnsi="Arial" w:cs="Arial"/>
              </w:rPr>
            </w:pPr>
            <w:r w:rsidRPr="00303388">
              <w:rPr>
                <w:rFonts w:ascii="Arial" w:hAnsi="Arial" w:cs="Arial"/>
              </w:rPr>
              <w:t>5,563</w:t>
            </w:r>
          </w:p>
        </w:tc>
        <w:tc>
          <w:tcPr>
            <w:tcW w:w="992" w:type="dxa"/>
            <w:tcBorders>
              <w:top w:val="nil"/>
              <w:left w:val="nil"/>
              <w:bottom w:val="single" w:sz="4" w:space="0" w:color="auto"/>
              <w:right w:val="single" w:sz="4" w:space="0" w:color="auto"/>
            </w:tcBorders>
            <w:shd w:val="clear" w:color="auto" w:fill="auto"/>
            <w:noWrap/>
            <w:vAlign w:val="center"/>
            <w:hideMark/>
          </w:tcPr>
          <w:p w:rsidR="00303388" w:rsidRPr="00303388" w:rsidRDefault="004C7EF5" w:rsidP="00303388">
            <w:pPr>
              <w:jc w:val="center"/>
              <w:rPr>
                <w:rFonts w:ascii="Arial" w:hAnsi="Arial" w:cs="Arial"/>
              </w:rPr>
            </w:pPr>
            <w:r>
              <w:rPr>
                <w:rFonts w:ascii="Arial" w:hAnsi="Arial" w:cs="Arial"/>
              </w:rPr>
              <w:t>3,235</w:t>
            </w:r>
          </w:p>
        </w:tc>
        <w:tc>
          <w:tcPr>
            <w:tcW w:w="992" w:type="dxa"/>
            <w:tcBorders>
              <w:top w:val="nil"/>
              <w:left w:val="nil"/>
              <w:bottom w:val="single" w:sz="4" w:space="0" w:color="auto"/>
              <w:right w:val="single" w:sz="4" w:space="0" w:color="auto"/>
            </w:tcBorders>
            <w:shd w:val="clear" w:color="auto" w:fill="auto"/>
            <w:noWrap/>
            <w:vAlign w:val="center"/>
            <w:hideMark/>
          </w:tcPr>
          <w:p w:rsidR="00303388" w:rsidRPr="00303388" w:rsidRDefault="004C7EF5" w:rsidP="00303388">
            <w:pPr>
              <w:jc w:val="center"/>
              <w:rPr>
                <w:rFonts w:ascii="Arial" w:hAnsi="Arial" w:cs="Arial"/>
              </w:rPr>
            </w:pPr>
            <w:r>
              <w:rPr>
                <w:rFonts w:ascii="Arial" w:hAnsi="Arial" w:cs="Arial"/>
              </w:rPr>
              <w:t>3,118</w:t>
            </w:r>
          </w:p>
        </w:tc>
        <w:tc>
          <w:tcPr>
            <w:tcW w:w="992" w:type="dxa"/>
            <w:tcBorders>
              <w:top w:val="nil"/>
              <w:left w:val="nil"/>
              <w:bottom w:val="single" w:sz="4" w:space="0" w:color="auto"/>
              <w:right w:val="single" w:sz="4" w:space="0" w:color="auto"/>
            </w:tcBorders>
            <w:shd w:val="clear" w:color="auto" w:fill="auto"/>
            <w:noWrap/>
            <w:vAlign w:val="center"/>
            <w:hideMark/>
          </w:tcPr>
          <w:p w:rsidR="00303388" w:rsidRPr="00303388" w:rsidRDefault="004C7EF5" w:rsidP="00303388">
            <w:pPr>
              <w:jc w:val="center"/>
              <w:rPr>
                <w:rFonts w:ascii="Arial" w:hAnsi="Arial" w:cs="Arial"/>
              </w:rPr>
            </w:pPr>
            <w:r>
              <w:rPr>
                <w:rFonts w:ascii="Arial" w:hAnsi="Arial" w:cs="Arial"/>
              </w:rPr>
              <w:t>5,546</w:t>
            </w:r>
          </w:p>
        </w:tc>
        <w:tc>
          <w:tcPr>
            <w:tcW w:w="992" w:type="dxa"/>
            <w:tcBorders>
              <w:top w:val="nil"/>
              <w:left w:val="nil"/>
              <w:bottom w:val="single" w:sz="4" w:space="0" w:color="auto"/>
              <w:right w:val="single" w:sz="4" w:space="0" w:color="auto"/>
            </w:tcBorders>
            <w:shd w:val="clear" w:color="auto" w:fill="EEECE1" w:themeFill="background2"/>
            <w:noWrap/>
            <w:vAlign w:val="center"/>
            <w:hideMark/>
          </w:tcPr>
          <w:p w:rsidR="00303388" w:rsidRPr="00303388" w:rsidRDefault="00303388" w:rsidP="00303388">
            <w:pPr>
              <w:jc w:val="center"/>
              <w:rPr>
                <w:rFonts w:ascii="Arial" w:hAnsi="Arial" w:cs="Arial"/>
              </w:rPr>
            </w:pPr>
            <w:r w:rsidRPr="00303388">
              <w:rPr>
                <w:rFonts w:ascii="Arial" w:hAnsi="Arial" w:cs="Arial"/>
              </w:rPr>
              <w:t>6,123</w:t>
            </w:r>
          </w:p>
        </w:tc>
        <w:tc>
          <w:tcPr>
            <w:tcW w:w="992" w:type="dxa"/>
            <w:tcBorders>
              <w:top w:val="nil"/>
              <w:left w:val="nil"/>
              <w:bottom w:val="single" w:sz="4" w:space="0" w:color="auto"/>
              <w:right w:val="single" w:sz="4" w:space="0" w:color="auto"/>
            </w:tcBorders>
            <w:shd w:val="clear" w:color="auto" w:fill="EEECE1" w:themeFill="background2"/>
            <w:noWrap/>
            <w:vAlign w:val="center"/>
            <w:hideMark/>
          </w:tcPr>
          <w:p w:rsidR="00303388" w:rsidRPr="00303388" w:rsidRDefault="00303388" w:rsidP="00303388">
            <w:pPr>
              <w:jc w:val="center"/>
              <w:rPr>
                <w:rFonts w:ascii="Arial" w:hAnsi="Arial" w:cs="Arial"/>
              </w:rPr>
            </w:pPr>
            <w:r w:rsidRPr="00303388">
              <w:rPr>
                <w:rFonts w:ascii="Arial" w:hAnsi="Arial" w:cs="Arial"/>
              </w:rPr>
              <w:t>5,700</w:t>
            </w:r>
          </w:p>
        </w:tc>
      </w:tr>
      <w:tr w:rsidR="00C83B5D" w:rsidRPr="00303388" w:rsidTr="00C23EF6">
        <w:trPr>
          <w:trHeight w:val="559"/>
        </w:trPr>
        <w:tc>
          <w:tcPr>
            <w:tcW w:w="2474" w:type="dxa"/>
            <w:tcBorders>
              <w:top w:val="nil"/>
              <w:left w:val="nil"/>
              <w:bottom w:val="single" w:sz="4" w:space="0" w:color="auto"/>
              <w:right w:val="nil"/>
            </w:tcBorders>
            <w:shd w:val="clear" w:color="auto" w:fill="auto"/>
            <w:vAlign w:val="center"/>
            <w:hideMark/>
          </w:tcPr>
          <w:p w:rsidR="00303388" w:rsidRPr="00C83B5D" w:rsidRDefault="00303388" w:rsidP="00303388">
            <w:pPr>
              <w:rPr>
                <w:rFonts w:ascii="Arial Narrow" w:hAnsi="Arial Narrow" w:cs="Arial"/>
                <w:b/>
                <w:bCs/>
              </w:rPr>
            </w:pPr>
            <w:r w:rsidRPr="00C83B5D">
              <w:rPr>
                <w:rFonts w:ascii="Arial Narrow" w:hAnsi="Arial Narrow" w:cs="Arial"/>
                <w:b/>
                <w:bCs/>
              </w:rPr>
              <w:t> </w:t>
            </w:r>
          </w:p>
        </w:tc>
        <w:tc>
          <w:tcPr>
            <w:tcW w:w="992" w:type="dxa"/>
            <w:tcBorders>
              <w:top w:val="nil"/>
              <w:left w:val="nil"/>
              <w:bottom w:val="single" w:sz="4" w:space="0" w:color="auto"/>
              <w:right w:val="nil"/>
            </w:tcBorders>
            <w:shd w:val="clear" w:color="auto" w:fill="auto"/>
            <w:noWrap/>
            <w:vAlign w:val="center"/>
            <w:hideMark/>
          </w:tcPr>
          <w:p w:rsidR="00303388" w:rsidRPr="00303388" w:rsidRDefault="00303388" w:rsidP="00303388">
            <w:pPr>
              <w:jc w:val="center"/>
              <w:rPr>
                <w:rFonts w:ascii="Arial" w:hAnsi="Arial" w:cs="Arial"/>
              </w:rPr>
            </w:pPr>
            <w:r w:rsidRPr="00303388">
              <w:rPr>
                <w:rFonts w:ascii="Arial" w:hAnsi="Arial" w:cs="Arial"/>
              </w:rPr>
              <w:t> </w:t>
            </w:r>
          </w:p>
        </w:tc>
        <w:tc>
          <w:tcPr>
            <w:tcW w:w="992" w:type="dxa"/>
            <w:tcBorders>
              <w:top w:val="nil"/>
              <w:left w:val="nil"/>
              <w:bottom w:val="single" w:sz="4" w:space="0" w:color="auto"/>
              <w:right w:val="nil"/>
            </w:tcBorders>
            <w:shd w:val="clear" w:color="auto" w:fill="auto"/>
            <w:noWrap/>
            <w:vAlign w:val="center"/>
            <w:hideMark/>
          </w:tcPr>
          <w:p w:rsidR="00303388" w:rsidRPr="00303388" w:rsidRDefault="00303388" w:rsidP="00303388">
            <w:pPr>
              <w:jc w:val="center"/>
              <w:rPr>
                <w:rFonts w:ascii="Arial" w:hAnsi="Arial" w:cs="Arial"/>
              </w:rPr>
            </w:pPr>
            <w:r w:rsidRPr="00303388">
              <w:rPr>
                <w:rFonts w:ascii="Arial" w:hAnsi="Arial" w:cs="Arial"/>
              </w:rPr>
              <w:t> </w:t>
            </w:r>
          </w:p>
        </w:tc>
        <w:tc>
          <w:tcPr>
            <w:tcW w:w="992" w:type="dxa"/>
            <w:tcBorders>
              <w:top w:val="nil"/>
              <w:left w:val="nil"/>
              <w:bottom w:val="single" w:sz="4" w:space="0" w:color="auto"/>
              <w:right w:val="nil"/>
            </w:tcBorders>
            <w:shd w:val="clear" w:color="auto" w:fill="auto"/>
            <w:noWrap/>
            <w:vAlign w:val="center"/>
            <w:hideMark/>
          </w:tcPr>
          <w:p w:rsidR="00303388" w:rsidRPr="00303388" w:rsidRDefault="00303388" w:rsidP="00303388">
            <w:pPr>
              <w:jc w:val="center"/>
              <w:rPr>
                <w:rFonts w:ascii="Arial" w:hAnsi="Arial" w:cs="Arial"/>
              </w:rPr>
            </w:pPr>
            <w:r w:rsidRPr="00303388">
              <w:rPr>
                <w:rFonts w:ascii="Arial" w:hAnsi="Arial" w:cs="Arial"/>
              </w:rPr>
              <w:t> </w:t>
            </w:r>
          </w:p>
        </w:tc>
        <w:tc>
          <w:tcPr>
            <w:tcW w:w="992" w:type="dxa"/>
            <w:tcBorders>
              <w:top w:val="nil"/>
              <w:left w:val="nil"/>
              <w:bottom w:val="single" w:sz="4" w:space="0" w:color="auto"/>
              <w:right w:val="nil"/>
            </w:tcBorders>
            <w:shd w:val="clear" w:color="auto" w:fill="auto"/>
            <w:noWrap/>
            <w:vAlign w:val="center"/>
            <w:hideMark/>
          </w:tcPr>
          <w:p w:rsidR="00303388" w:rsidRPr="00303388" w:rsidRDefault="00303388" w:rsidP="00303388">
            <w:pPr>
              <w:jc w:val="center"/>
              <w:rPr>
                <w:rFonts w:ascii="Arial" w:hAnsi="Arial" w:cs="Arial"/>
              </w:rPr>
            </w:pPr>
            <w:r w:rsidRPr="00303388">
              <w:rPr>
                <w:rFonts w:ascii="Arial" w:hAnsi="Arial" w:cs="Arial"/>
              </w:rPr>
              <w:t> </w:t>
            </w:r>
          </w:p>
        </w:tc>
        <w:tc>
          <w:tcPr>
            <w:tcW w:w="992" w:type="dxa"/>
            <w:tcBorders>
              <w:top w:val="nil"/>
              <w:left w:val="nil"/>
              <w:bottom w:val="single" w:sz="4" w:space="0" w:color="auto"/>
              <w:right w:val="nil"/>
            </w:tcBorders>
            <w:shd w:val="clear" w:color="auto" w:fill="auto"/>
            <w:noWrap/>
            <w:vAlign w:val="center"/>
            <w:hideMark/>
          </w:tcPr>
          <w:p w:rsidR="00303388" w:rsidRPr="00303388" w:rsidRDefault="00303388" w:rsidP="00303388">
            <w:pPr>
              <w:jc w:val="center"/>
              <w:rPr>
                <w:rFonts w:ascii="Arial" w:hAnsi="Arial" w:cs="Arial"/>
              </w:rPr>
            </w:pPr>
            <w:r w:rsidRPr="00303388">
              <w:rPr>
                <w:rFonts w:ascii="Arial" w:hAnsi="Arial" w:cs="Arial"/>
              </w:rPr>
              <w:t> </w:t>
            </w:r>
          </w:p>
        </w:tc>
        <w:tc>
          <w:tcPr>
            <w:tcW w:w="992" w:type="dxa"/>
            <w:tcBorders>
              <w:top w:val="nil"/>
              <w:left w:val="nil"/>
              <w:bottom w:val="single" w:sz="4" w:space="0" w:color="auto"/>
              <w:right w:val="nil"/>
            </w:tcBorders>
            <w:shd w:val="clear" w:color="auto" w:fill="EEECE1" w:themeFill="background2"/>
            <w:noWrap/>
            <w:vAlign w:val="center"/>
            <w:hideMark/>
          </w:tcPr>
          <w:p w:rsidR="00303388" w:rsidRPr="00303388" w:rsidRDefault="00303388" w:rsidP="00303388">
            <w:pPr>
              <w:jc w:val="center"/>
              <w:rPr>
                <w:rFonts w:ascii="Arial" w:hAnsi="Arial" w:cs="Arial"/>
              </w:rPr>
            </w:pPr>
            <w:r w:rsidRPr="00303388">
              <w:rPr>
                <w:rFonts w:ascii="Arial" w:hAnsi="Arial" w:cs="Arial"/>
              </w:rPr>
              <w:t> </w:t>
            </w:r>
          </w:p>
        </w:tc>
        <w:tc>
          <w:tcPr>
            <w:tcW w:w="992" w:type="dxa"/>
            <w:tcBorders>
              <w:top w:val="nil"/>
              <w:left w:val="nil"/>
              <w:bottom w:val="single" w:sz="4" w:space="0" w:color="auto"/>
              <w:right w:val="nil"/>
            </w:tcBorders>
            <w:shd w:val="clear" w:color="auto" w:fill="EEECE1" w:themeFill="background2"/>
            <w:noWrap/>
            <w:vAlign w:val="center"/>
            <w:hideMark/>
          </w:tcPr>
          <w:p w:rsidR="00303388" w:rsidRPr="00303388" w:rsidRDefault="00303388" w:rsidP="00303388">
            <w:pPr>
              <w:jc w:val="center"/>
              <w:rPr>
                <w:rFonts w:ascii="Arial" w:hAnsi="Arial" w:cs="Arial"/>
              </w:rPr>
            </w:pPr>
            <w:r w:rsidRPr="00303388">
              <w:rPr>
                <w:rFonts w:ascii="Arial" w:hAnsi="Arial" w:cs="Arial"/>
              </w:rPr>
              <w:t> </w:t>
            </w:r>
          </w:p>
        </w:tc>
      </w:tr>
      <w:tr w:rsidR="00C83B5D" w:rsidRPr="00303388" w:rsidTr="00C23EF6">
        <w:trPr>
          <w:trHeight w:val="1302"/>
        </w:trPr>
        <w:tc>
          <w:tcPr>
            <w:tcW w:w="2474" w:type="dxa"/>
            <w:tcBorders>
              <w:top w:val="nil"/>
              <w:left w:val="single" w:sz="4" w:space="0" w:color="auto"/>
              <w:bottom w:val="single" w:sz="4" w:space="0" w:color="auto"/>
              <w:right w:val="single" w:sz="4" w:space="0" w:color="auto"/>
            </w:tcBorders>
            <w:shd w:val="clear" w:color="auto" w:fill="auto"/>
            <w:noWrap/>
            <w:vAlign w:val="center"/>
            <w:hideMark/>
          </w:tcPr>
          <w:p w:rsidR="00303388" w:rsidRPr="00C83B5D" w:rsidRDefault="00303388" w:rsidP="00C83B5D">
            <w:pPr>
              <w:rPr>
                <w:rFonts w:ascii="Arial Narrow" w:hAnsi="Arial Narrow" w:cs="Arial"/>
                <w:b/>
                <w:bCs/>
              </w:rPr>
            </w:pPr>
            <w:r w:rsidRPr="00C83B5D">
              <w:rPr>
                <w:rFonts w:ascii="Arial Narrow" w:hAnsi="Arial Narrow" w:cs="Arial"/>
                <w:b/>
                <w:bCs/>
              </w:rPr>
              <w:t xml:space="preserve">SOURCE OF FUNDS: </w:t>
            </w:r>
            <w:r w:rsidR="00C83B5D">
              <w:rPr>
                <w:rFonts w:ascii="Arial Narrow" w:hAnsi="Arial Narrow" w:cs="Arial"/>
                <w:b/>
                <w:bCs/>
              </w:rPr>
              <w:br/>
            </w:r>
            <w:r w:rsidRPr="00C83B5D">
              <w:rPr>
                <w:rFonts w:ascii="Arial Narrow" w:hAnsi="Arial Narrow" w:cs="Arial"/>
                <w:b/>
                <w:bCs/>
                <w:sz w:val="24"/>
                <w:szCs w:val="24"/>
              </w:rPr>
              <w:t>Internal</w:t>
            </w:r>
          </w:p>
        </w:tc>
        <w:tc>
          <w:tcPr>
            <w:tcW w:w="992" w:type="dxa"/>
            <w:tcBorders>
              <w:top w:val="nil"/>
              <w:left w:val="nil"/>
              <w:bottom w:val="single" w:sz="4" w:space="0" w:color="auto"/>
              <w:right w:val="single" w:sz="4" w:space="0" w:color="auto"/>
            </w:tcBorders>
            <w:shd w:val="clear" w:color="auto" w:fill="auto"/>
            <w:noWrap/>
            <w:vAlign w:val="center"/>
            <w:hideMark/>
          </w:tcPr>
          <w:p w:rsidR="00303388" w:rsidRPr="00303388" w:rsidRDefault="00303388" w:rsidP="00303388">
            <w:pPr>
              <w:jc w:val="center"/>
              <w:rPr>
                <w:rFonts w:ascii="Arial" w:hAnsi="Arial" w:cs="Arial"/>
              </w:rPr>
            </w:pPr>
            <w:r w:rsidRPr="00303388">
              <w:rPr>
                <w:rFonts w:ascii="Arial" w:hAnsi="Arial" w:cs="Arial"/>
              </w:rPr>
              <w:t>5,790</w:t>
            </w:r>
          </w:p>
        </w:tc>
        <w:tc>
          <w:tcPr>
            <w:tcW w:w="992" w:type="dxa"/>
            <w:tcBorders>
              <w:top w:val="nil"/>
              <w:left w:val="nil"/>
              <w:bottom w:val="single" w:sz="4" w:space="0" w:color="auto"/>
              <w:right w:val="single" w:sz="4" w:space="0" w:color="auto"/>
            </w:tcBorders>
            <w:shd w:val="clear" w:color="auto" w:fill="auto"/>
            <w:noWrap/>
            <w:vAlign w:val="center"/>
            <w:hideMark/>
          </w:tcPr>
          <w:p w:rsidR="00303388" w:rsidRPr="00303388" w:rsidRDefault="00303388" w:rsidP="00303388">
            <w:pPr>
              <w:jc w:val="center"/>
              <w:rPr>
                <w:rFonts w:ascii="Arial" w:hAnsi="Arial" w:cs="Arial"/>
              </w:rPr>
            </w:pPr>
            <w:r w:rsidRPr="00303388">
              <w:rPr>
                <w:rFonts w:ascii="Arial" w:hAnsi="Arial" w:cs="Arial"/>
              </w:rPr>
              <w:t>5,563</w:t>
            </w:r>
          </w:p>
        </w:tc>
        <w:tc>
          <w:tcPr>
            <w:tcW w:w="992" w:type="dxa"/>
            <w:tcBorders>
              <w:top w:val="nil"/>
              <w:left w:val="nil"/>
              <w:bottom w:val="single" w:sz="4" w:space="0" w:color="auto"/>
              <w:right w:val="single" w:sz="4" w:space="0" w:color="auto"/>
            </w:tcBorders>
            <w:shd w:val="clear" w:color="auto" w:fill="auto"/>
            <w:noWrap/>
            <w:vAlign w:val="center"/>
            <w:hideMark/>
          </w:tcPr>
          <w:p w:rsidR="00303388" w:rsidRPr="00303388" w:rsidRDefault="004C7EF5" w:rsidP="00303388">
            <w:pPr>
              <w:jc w:val="center"/>
              <w:rPr>
                <w:rFonts w:ascii="Arial" w:hAnsi="Arial" w:cs="Arial"/>
              </w:rPr>
            </w:pPr>
            <w:r>
              <w:rPr>
                <w:rFonts w:ascii="Arial" w:hAnsi="Arial" w:cs="Arial"/>
              </w:rPr>
              <w:t>3,235</w:t>
            </w:r>
          </w:p>
        </w:tc>
        <w:tc>
          <w:tcPr>
            <w:tcW w:w="992" w:type="dxa"/>
            <w:tcBorders>
              <w:top w:val="nil"/>
              <w:left w:val="nil"/>
              <w:bottom w:val="single" w:sz="4" w:space="0" w:color="auto"/>
              <w:right w:val="single" w:sz="4" w:space="0" w:color="auto"/>
            </w:tcBorders>
            <w:shd w:val="clear" w:color="auto" w:fill="auto"/>
            <w:noWrap/>
            <w:vAlign w:val="center"/>
            <w:hideMark/>
          </w:tcPr>
          <w:p w:rsidR="00303388" w:rsidRPr="00303388" w:rsidRDefault="004C7EF5" w:rsidP="00303388">
            <w:pPr>
              <w:jc w:val="center"/>
              <w:rPr>
                <w:rFonts w:ascii="Arial" w:hAnsi="Arial" w:cs="Arial"/>
              </w:rPr>
            </w:pPr>
            <w:r>
              <w:rPr>
                <w:rFonts w:ascii="Arial" w:hAnsi="Arial" w:cs="Arial"/>
              </w:rPr>
              <w:t>3,118</w:t>
            </w:r>
          </w:p>
        </w:tc>
        <w:tc>
          <w:tcPr>
            <w:tcW w:w="992" w:type="dxa"/>
            <w:tcBorders>
              <w:top w:val="nil"/>
              <w:left w:val="nil"/>
              <w:bottom w:val="single" w:sz="4" w:space="0" w:color="auto"/>
              <w:right w:val="single" w:sz="4" w:space="0" w:color="auto"/>
            </w:tcBorders>
            <w:shd w:val="clear" w:color="auto" w:fill="auto"/>
            <w:noWrap/>
            <w:vAlign w:val="center"/>
            <w:hideMark/>
          </w:tcPr>
          <w:p w:rsidR="00303388" w:rsidRPr="00303388" w:rsidRDefault="004C7EF5" w:rsidP="00303388">
            <w:pPr>
              <w:jc w:val="center"/>
              <w:rPr>
                <w:rFonts w:ascii="Arial" w:hAnsi="Arial" w:cs="Arial"/>
              </w:rPr>
            </w:pPr>
            <w:r>
              <w:rPr>
                <w:rFonts w:ascii="Arial" w:hAnsi="Arial" w:cs="Arial"/>
              </w:rPr>
              <w:t>5,546</w:t>
            </w:r>
          </w:p>
        </w:tc>
        <w:tc>
          <w:tcPr>
            <w:tcW w:w="992" w:type="dxa"/>
            <w:tcBorders>
              <w:top w:val="nil"/>
              <w:left w:val="nil"/>
              <w:bottom w:val="single" w:sz="4" w:space="0" w:color="auto"/>
              <w:right w:val="single" w:sz="4" w:space="0" w:color="auto"/>
            </w:tcBorders>
            <w:shd w:val="clear" w:color="auto" w:fill="EEECE1" w:themeFill="background2"/>
            <w:noWrap/>
            <w:vAlign w:val="center"/>
            <w:hideMark/>
          </w:tcPr>
          <w:p w:rsidR="00303388" w:rsidRPr="00303388" w:rsidRDefault="00303388" w:rsidP="00303388">
            <w:pPr>
              <w:jc w:val="center"/>
              <w:rPr>
                <w:rFonts w:ascii="Arial" w:hAnsi="Arial" w:cs="Arial"/>
              </w:rPr>
            </w:pPr>
            <w:r w:rsidRPr="00303388">
              <w:rPr>
                <w:rFonts w:ascii="Arial" w:hAnsi="Arial" w:cs="Arial"/>
              </w:rPr>
              <w:t>6,123</w:t>
            </w:r>
          </w:p>
        </w:tc>
        <w:tc>
          <w:tcPr>
            <w:tcW w:w="992" w:type="dxa"/>
            <w:tcBorders>
              <w:top w:val="nil"/>
              <w:left w:val="nil"/>
              <w:bottom w:val="single" w:sz="4" w:space="0" w:color="auto"/>
              <w:right w:val="single" w:sz="4" w:space="0" w:color="auto"/>
            </w:tcBorders>
            <w:shd w:val="clear" w:color="auto" w:fill="EEECE1" w:themeFill="background2"/>
            <w:noWrap/>
            <w:vAlign w:val="center"/>
            <w:hideMark/>
          </w:tcPr>
          <w:p w:rsidR="00303388" w:rsidRPr="00303388" w:rsidRDefault="00303388" w:rsidP="00303388">
            <w:pPr>
              <w:jc w:val="center"/>
              <w:rPr>
                <w:rFonts w:ascii="Arial" w:hAnsi="Arial" w:cs="Arial"/>
              </w:rPr>
            </w:pPr>
            <w:r w:rsidRPr="00303388">
              <w:rPr>
                <w:rFonts w:ascii="Arial" w:hAnsi="Arial" w:cs="Arial"/>
              </w:rPr>
              <w:t>5,700</w:t>
            </w:r>
          </w:p>
        </w:tc>
      </w:tr>
    </w:tbl>
    <w:p w:rsidR="00290446" w:rsidRDefault="00290446" w:rsidP="0099324F">
      <w:pPr>
        <w:spacing w:after="120"/>
      </w:pPr>
    </w:p>
    <w:p w:rsidR="00303388" w:rsidRDefault="00303388" w:rsidP="0099324F">
      <w:pPr>
        <w:spacing w:after="120"/>
      </w:pPr>
    </w:p>
    <w:p w:rsidR="00303388" w:rsidRDefault="00303388" w:rsidP="0099324F">
      <w:pPr>
        <w:spacing w:after="120"/>
        <w:sectPr w:rsidR="00303388" w:rsidSect="009D19B1">
          <w:headerReference w:type="first" r:id="rId23"/>
          <w:pgSz w:w="11907" w:h="16840" w:code="9"/>
          <w:pgMar w:top="1134" w:right="567" w:bottom="1134" w:left="1134" w:header="720" w:footer="397" w:gutter="284"/>
          <w:pgNumType w:start="26"/>
          <w:cols w:space="720"/>
          <w:titlePg/>
          <w:docGrid w:linePitch="272"/>
        </w:sectPr>
      </w:pPr>
    </w:p>
    <w:p w:rsidR="0069759A" w:rsidRPr="005136CD" w:rsidRDefault="0069759A" w:rsidP="0069759A">
      <w:pPr>
        <w:pStyle w:val="ListParagraph"/>
        <w:spacing w:after="120"/>
        <w:ind w:left="-142"/>
        <w:jc w:val="center"/>
        <w:rPr>
          <w:rFonts w:ascii="Arial" w:hAnsi="Arial" w:cs="Arial"/>
          <w:b/>
          <w:sz w:val="24"/>
          <w:szCs w:val="24"/>
        </w:rPr>
      </w:pPr>
      <w:bookmarkStart w:id="60" w:name="_Toc131229560"/>
      <w:r w:rsidRPr="005136CD">
        <w:rPr>
          <w:rFonts w:ascii="Arial" w:hAnsi="Arial" w:cs="Arial"/>
          <w:b/>
          <w:sz w:val="24"/>
          <w:szCs w:val="24"/>
        </w:rPr>
        <w:t xml:space="preserve">STATE </w:t>
      </w:r>
      <w:smartTag w:uri="urn:schemas-microsoft-com:office:smarttags" w:element="stockticker">
        <w:r w:rsidRPr="005136CD">
          <w:rPr>
            <w:rFonts w:ascii="Arial" w:hAnsi="Arial" w:cs="Arial"/>
            <w:b/>
            <w:sz w:val="24"/>
            <w:szCs w:val="24"/>
          </w:rPr>
          <w:t>FIRE</w:t>
        </w:r>
      </w:smartTag>
      <w:r w:rsidRPr="005136CD">
        <w:rPr>
          <w:rFonts w:ascii="Arial" w:hAnsi="Arial" w:cs="Arial"/>
          <w:b/>
          <w:sz w:val="24"/>
          <w:szCs w:val="24"/>
        </w:rPr>
        <w:t xml:space="preserve"> COMMISSION</w:t>
      </w:r>
    </w:p>
    <w:p w:rsidR="0069759A" w:rsidRPr="00D7614D" w:rsidRDefault="0069759A" w:rsidP="0069759A">
      <w:pPr>
        <w:pStyle w:val="Heading1"/>
        <w:spacing w:after="240"/>
        <w:ind w:left="-142"/>
        <w:jc w:val="center"/>
        <w:rPr>
          <w:rFonts w:ascii="Arial" w:hAnsi="Arial" w:cs="Arial"/>
          <w:bCs/>
          <w:snapToGrid w:val="0"/>
          <w:sz w:val="24"/>
          <w:szCs w:val="26"/>
        </w:rPr>
      </w:pPr>
      <w:bookmarkStart w:id="61" w:name="_Toc225760813"/>
      <w:smartTag w:uri="urn:schemas-microsoft-com:office:smarttags" w:element="stockticker">
        <w:r w:rsidRPr="00D7614D">
          <w:rPr>
            <w:rFonts w:ascii="Arial" w:hAnsi="Arial" w:cs="Arial"/>
            <w:bCs/>
            <w:snapToGrid w:val="0"/>
            <w:sz w:val="24"/>
            <w:szCs w:val="26"/>
          </w:rPr>
          <w:t>KEY</w:t>
        </w:r>
      </w:smartTag>
      <w:r w:rsidRPr="00D7614D">
        <w:rPr>
          <w:rFonts w:ascii="Arial" w:hAnsi="Arial" w:cs="Arial"/>
          <w:bCs/>
          <w:snapToGrid w:val="0"/>
          <w:sz w:val="24"/>
          <w:szCs w:val="26"/>
        </w:rPr>
        <w:t xml:space="preserve"> PERFORMANCE TARGETS</w:t>
      </w:r>
      <w:bookmarkEnd w:id="61"/>
    </w:p>
    <w:tbl>
      <w:tblPr>
        <w:tblW w:w="9900" w:type="dxa"/>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4395"/>
        <w:gridCol w:w="1185"/>
        <w:gridCol w:w="1080"/>
        <w:gridCol w:w="1080"/>
        <w:gridCol w:w="1080"/>
        <w:gridCol w:w="1080"/>
      </w:tblGrid>
      <w:tr w:rsidR="0069759A" w:rsidRPr="008D00FA" w:rsidTr="0069759A">
        <w:tc>
          <w:tcPr>
            <w:tcW w:w="4395" w:type="dxa"/>
            <w:tcBorders>
              <w:top w:val="single" w:sz="6" w:space="0" w:color="auto"/>
              <w:left w:val="single" w:sz="6" w:space="0" w:color="auto"/>
              <w:bottom w:val="single" w:sz="6" w:space="0" w:color="auto"/>
              <w:right w:val="nil"/>
            </w:tcBorders>
          </w:tcPr>
          <w:p w:rsidR="0069759A" w:rsidRPr="00D7614D" w:rsidRDefault="0069759A" w:rsidP="0069759A">
            <w:pPr>
              <w:keepNext/>
              <w:keepLines/>
              <w:spacing w:before="40" w:after="40"/>
              <w:ind w:left="-85"/>
              <w:jc w:val="both"/>
              <w:rPr>
                <w:rFonts w:ascii="Arial" w:hAnsi="Arial" w:cs="Arial"/>
                <w:b/>
              </w:rPr>
            </w:pPr>
            <w:r w:rsidRPr="00D7614D">
              <w:rPr>
                <w:rFonts w:ascii="Arial" w:hAnsi="Arial" w:cs="Arial"/>
                <w:b/>
              </w:rPr>
              <w:t>Performance Targets</w:t>
            </w:r>
          </w:p>
        </w:tc>
        <w:tc>
          <w:tcPr>
            <w:tcW w:w="1185" w:type="dxa"/>
            <w:tcBorders>
              <w:top w:val="single" w:sz="6" w:space="0" w:color="auto"/>
              <w:left w:val="nil"/>
              <w:bottom w:val="single" w:sz="6" w:space="0" w:color="auto"/>
              <w:right w:val="nil"/>
            </w:tcBorders>
          </w:tcPr>
          <w:p w:rsidR="0069759A" w:rsidRPr="008D00FA" w:rsidRDefault="0069759A" w:rsidP="0069759A">
            <w:pPr>
              <w:keepNext/>
              <w:keepLines/>
              <w:spacing w:before="40" w:after="40"/>
              <w:ind w:left="-85"/>
              <w:jc w:val="center"/>
              <w:rPr>
                <w:rFonts w:ascii="Arial" w:hAnsi="Arial" w:cs="Arial"/>
                <w:b/>
              </w:rPr>
            </w:pPr>
            <w:r w:rsidRPr="008D00FA">
              <w:rPr>
                <w:rFonts w:ascii="Arial" w:hAnsi="Arial" w:cs="Arial"/>
                <w:b/>
              </w:rPr>
              <w:t>2009-10</w:t>
            </w:r>
          </w:p>
          <w:p w:rsidR="0069759A" w:rsidRPr="008D00FA" w:rsidRDefault="0069759A" w:rsidP="0069759A">
            <w:pPr>
              <w:keepNext/>
              <w:keepLines/>
              <w:spacing w:before="40" w:after="40"/>
              <w:ind w:left="-85"/>
              <w:jc w:val="center"/>
              <w:rPr>
                <w:rFonts w:ascii="Arial" w:hAnsi="Arial" w:cs="Arial"/>
                <w:b/>
              </w:rPr>
            </w:pPr>
            <w:r w:rsidRPr="008D00FA">
              <w:rPr>
                <w:rFonts w:ascii="Arial" w:hAnsi="Arial" w:cs="Arial"/>
                <w:b/>
              </w:rPr>
              <w:t>Actual</w:t>
            </w:r>
          </w:p>
        </w:tc>
        <w:tc>
          <w:tcPr>
            <w:tcW w:w="1080" w:type="dxa"/>
            <w:tcBorders>
              <w:top w:val="single" w:sz="6" w:space="0" w:color="auto"/>
              <w:left w:val="nil"/>
              <w:bottom w:val="single" w:sz="6" w:space="0" w:color="auto"/>
              <w:right w:val="nil"/>
            </w:tcBorders>
          </w:tcPr>
          <w:p w:rsidR="0069759A" w:rsidRPr="008D00FA" w:rsidRDefault="0069759A" w:rsidP="0069759A">
            <w:pPr>
              <w:keepNext/>
              <w:keepLines/>
              <w:spacing w:before="40" w:after="40"/>
              <w:ind w:left="-85"/>
              <w:jc w:val="center"/>
              <w:rPr>
                <w:rFonts w:ascii="Arial" w:hAnsi="Arial" w:cs="Arial"/>
                <w:b/>
              </w:rPr>
            </w:pPr>
            <w:r w:rsidRPr="008D00FA">
              <w:rPr>
                <w:rFonts w:ascii="Arial" w:hAnsi="Arial" w:cs="Arial"/>
                <w:b/>
              </w:rPr>
              <w:t>2010-11</w:t>
            </w:r>
          </w:p>
          <w:p w:rsidR="0069759A" w:rsidRPr="008D00FA" w:rsidRDefault="0069759A" w:rsidP="0069759A">
            <w:pPr>
              <w:keepNext/>
              <w:keepLines/>
              <w:spacing w:before="40" w:after="40"/>
              <w:ind w:left="-85"/>
              <w:jc w:val="center"/>
              <w:rPr>
                <w:rFonts w:ascii="Arial" w:hAnsi="Arial" w:cs="Arial"/>
                <w:b/>
              </w:rPr>
            </w:pPr>
            <w:r w:rsidRPr="008D00FA">
              <w:rPr>
                <w:rFonts w:ascii="Arial" w:hAnsi="Arial" w:cs="Arial"/>
                <w:b/>
              </w:rPr>
              <w:t>Target</w:t>
            </w:r>
          </w:p>
        </w:tc>
        <w:tc>
          <w:tcPr>
            <w:tcW w:w="1080" w:type="dxa"/>
            <w:tcBorders>
              <w:top w:val="single" w:sz="6" w:space="0" w:color="auto"/>
              <w:left w:val="nil"/>
              <w:bottom w:val="single" w:sz="6" w:space="0" w:color="auto"/>
              <w:right w:val="nil"/>
            </w:tcBorders>
          </w:tcPr>
          <w:p w:rsidR="0069759A" w:rsidRPr="008D00FA" w:rsidRDefault="0069759A" w:rsidP="0069759A">
            <w:pPr>
              <w:keepNext/>
              <w:keepLines/>
              <w:spacing w:before="40" w:after="40"/>
              <w:ind w:left="-85"/>
              <w:jc w:val="center"/>
              <w:rPr>
                <w:rFonts w:ascii="Arial" w:hAnsi="Arial" w:cs="Arial"/>
                <w:b/>
              </w:rPr>
            </w:pPr>
            <w:r w:rsidRPr="008D00FA">
              <w:rPr>
                <w:rFonts w:ascii="Arial" w:hAnsi="Arial" w:cs="Arial"/>
                <w:b/>
              </w:rPr>
              <w:t>2011-12</w:t>
            </w:r>
          </w:p>
          <w:p w:rsidR="0069759A" w:rsidRPr="008D00FA" w:rsidRDefault="0069759A" w:rsidP="0069759A">
            <w:pPr>
              <w:keepNext/>
              <w:keepLines/>
              <w:spacing w:before="40" w:after="40"/>
              <w:ind w:left="-85"/>
              <w:jc w:val="center"/>
              <w:rPr>
                <w:rFonts w:ascii="Arial" w:hAnsi="Arial" w:cs="Arial"/>
                <w:b/>
              </w:rPr>
            </w:pPr>
            <w:r w:rsidRPr="008D00FA">
              <w:rPr>
                <w:rFonts w:ascii="Arial" w:hAnsi="Arial" w:cs="Arial"/>
                <w:b/>
              </w:rPr>
              <w:t>Target</w:t>
            </w:r>
          </w:p>
        </w:tc>
        <w:tc>
          <w:tcPr>
            <w:tcW w:w="1080" w:type="dxa"/>
            <w:tcBorders>
              <w:top w:val="single" w:sz="6" w:space="0" w:color="auto"/>
              <w:left w:val="nil"/>
              <w:bottom w:val="single" w:sz="6" w:space="0" w:color="auto"/>
              <w:right w:val="nil"/>
            </w:tcBorders>
          </w:tcPr>
          <w:p w:rsidR="0069759A" w:rsidRPr="008D00FA" w:rsidRDefault="0069759A" w:rsidP="0069759A">
            <w:pPr>
              <w:keepNext/>
              <w:keepLines/>
              <w:spacing w:before="40" w:after="40"/>
              <w:ind w:left="-85"/>
              <w:jc w:val="center"/>
              <w:rPr>
                <w:rFonts w:ascii="Arial" w:hAnsi="Arial" w:cs="Arial"/>
                <w:b/>
              </w:rPr>
            </w:pPr>
            <w:r w:rsidRPr="008D00FA">
              <w:rPr>
                <w:rFonts w:ascii="Arial" w:hAnsi="Arial" w:cs="Arial"/>
                <w:b/>
              </w:rPr>
              <w:t>2012-13</w:t>
            </w:r>
          </w:p>
          <w:p w:rsidR="0069759A" w:rsidRPr="008D00FA" w:rsidRDefault="0069759A" w:rsidP="0069759A">
            <w:pPr>
              <w:keepNext/>
              <w:keepLines/>
              <w:spacing w:before="40" w:after="40"/>
              <w:ind w:left="-85"/>
              <w:jc w:val="center"/>
              <w:rPr>
                <w:rFonts w:ascii="Arial" w:hAnsi="Arial" w:cs="Arial"/>
                <w:b/>
              </w:rPr>
            </w:pPr>
            <w:r w:rsidRPr="008D00FA">
              <w:rPr>
                <w:rFonts w:ascii="Arial" w:hAnsi="Arial" w:cs="Arial"/>
                <w:b/>
              </w:rPr>
              <w:t>Target</w:t>
            </w:r>
          </w:p>
        </w:tc>
        <w:tc>
          <w:tcPr>
            <w:tcW w:w="1080" w:type="dxa"/>
            <w:tcBorders>
              <w:top w:val="single" w:sz="6" w:space="0" w:color="auto"/>
              <w:left w:val="nil"/>
              <w:bottom w:val="single" w:sz="6" w:space="0" w:color="auto"/>
              <w:right w:val="single" w:sz="6" w:space="0" w:color="auto"/>
            </w:tcBorders>
          </w:tcPr>
          <w:p w:rsidR="0069759A" w:rsidRPr="008D00FA" w:rsidRDefault="0069759A" w:rsidP="0069759A">
            <w:pPr>
              <w:keepNext/>
              <w:keepLines/>
              <w:spacing w:before="40" w:after="40"/>
              <w:ind w:left="-85"/>
              <w:jc w:val="center"/>
              <w:rPr>
                <w:rFonts w:ascii="Arial" w:hAnsi="Arial" w:cs="Arial"/>
                <w:b/>
              </w:rPr>
            </w:pPr>
            <w:r w:rsidRPr="008D00FA">
              <w:rPr>
                <w:rFonts w:ascii="Arial" w:hAnsi="Arial" w:cs="Arial"/>
                <w:b/>
              </w:rPr>
              <w:t>2013-14</w:t>
            </w:r>
          </w:p>
          <w:p w:rsidR="0069759A" w:rsidRPr="008D00FA" w:rsidRDefault="0069759A" w:rsidP="0069759A">
            <w:pPr>
              <w:keepNext/>
              <w:keepLines/>
              <w:spacing w:before="40" w:after="40"/>
              <w:ind w:left="-85"/>
              <w:jc w:val="center"/>
              <w:rPr>
                <w:rFonts w:ascii="Arial" w:hAnsi="Arial" w:cs="Arial"/>
                <w:b/>
              </w:rPr>
            </w:pPr>
            <w:r w:rsidRPr="008D00FA">
              <w:rPr>
                <w:rFonts w:ascii="Arial" w:hAnsi="Arial" w:cs="Arial"/>
                <w:b/>
              </w:rPr>
              <w:t>Target</w:t>
            </w:r>
          </w:p>
        </w:tc>
      </w:tr>
      <w:tr w:rsidR="0069759A" w:rsidRPr="00D7614D" w:rsidTr="0069759A">
        <w:tc>
          <w:tcPr>
            <w:tcW w:w="4395" w:type="dxa"/>
            <w:tcBorders>
              <w:top w:val="single" w:sz="6" w:space="0" w:color="auto"/>
              <w:left w:val="single" w:sz="6" w:space="0" w:color="auto"/>
              <w:bottom w:val="nil"/>
              <w:right w:val="nil"/>
            </w:tcBorders>
          </w:tcPr>
          <w:p w:rsidR="0069759A" w:rsidRPr="00D7614D" w:rsidRDefault="0069759A" w:rsidP="0069759A">
            <w:pPr>
              <w:keepNext/>
              <w:keepLines/>
              <w:spacing w:before="80" w:after="80"/>
              <w:ind w:left="-85"/>
              <w:rPr>
                <w:rFonts w:ascii="Arial" w:hAnsi="Arial" w:cs="Arial"/>
              </w:rPr>
            </w:pPr>
            <w:r w:rsidRPr="00D7614D">
              <w:rPr>
                <w:rFonts w:ascii="Arial" w:hAnsi="Arial" w:cs="Arial"/>
                <w:b/>
              </w:rPr>
              <w:t>Operational</w:t>
            </w:r>
          </w:p>
        </w:tc>
        <w:tc>
          <w:tcPr>
            <w:tcW w:w="1185" w:type="dxa"/>
            <w:tcBorders>
              <w:top w:val="single" w:sz="6" w:space="0" w:color="auto"/>
              <w:left w:val="nil"/>
              <w:bottom w:val="nil"/>
              <w:right w:val="nil"/>
            </w:tcBorders>
          </w:tcPr>
          <w:p w:rsidR="0069759A" w:rsidRPr="00D7614D" w:rsidRDefault="0069759A" w:rsidP="0069759A">
            <w:pPr>
              <w:keepNext/>
              <w:keepLines/>
              <w:spacing w:before="80" w:after="80"/>
              <w:ind w:left="-85" w:right="33"/>
              <w:jc w:val="center"/>
              <w:rPr>
                <w:rFonts w:ascii="Arial" w:hAnsi="Arial" w:cs="Arial"/>
              </w:rPr>
            </w:pPr>
          </w:p>
        </w:tc>
        <w:tc>
          <w:tcPr>
            <w:tcW w:w="1080" w:type="dxa"/>
            <w:tcBorders>
              <w:top w:val="single" w:sz="6" w:space="0" w:color="auto"/>
              <w:left w:val="nil"/>
              <w:bottom w:val="nil"/>
              <w:right w:val="nil"/>
            </w:tcBorders>
          </w:tcPr>
          <w:p w:rsidR="0069759A" w:rsidRPr="00D7614D" w:rsidRDefault="0069759A" w:rsidP="0069759A">
            <w:pPr>
              <w:keepNext/>
              <w:keepLines/>
              <w:spacing w:before="80" w:after="80"/>
              <w:ind w:left="-85" w:right="33"/>
              <w:jc w:val="center"/>
              <w:rPr>
                <w:rFonts w:ascii="Arial" w:hAnsi="Arial" w:cs="Arial"/>
              </w:rPr>
            </w:pPr>
          </w:p>
        </w:tc>
        <w:tc>
          <w:tcPr>
            <w:tcW w:w="1080" w:type="dxa"/>
            <w:tcBorders>
              <w:top w:val="single" w:sz="6" w:space="0" w:color="auto"/>
              <w:left w:val="nil"/>
              <w:bottom w:val="nil"/>
              <w:right w:val="nil"/>
            </w:tcBorders>
          </w:tcPr>
          <w:p w:rsidR="0069759A" w:rsidRPr="00D7614D" w:rsidRDefault="0069759A" w:rsidP="0069759A">
            <w:pPr>
              <w:keepNext/>
              <w:keepLines/>
              <w:spacing w:before="80" w:after="80"/>
              <w:ind w:left="-85" w:right="33"/>
              <w:jc w:val="center"/>
              <w:rPr>
                <w:rFonts w:ascii="Arial" w:hAnsi="Arial" w:cs="Arial"/>
              </w:rPr>
            </w:pPr>
          </w:p>
        </w:tc>
        <w:tc>
          <w:tcPr>
            <w:tcW w:w="1080" w:type="dxa"/>
            <w:tcBorders>
              <w:top w:val="single" w:sz="6" w:space="0" w:color="auto"/>
              <w:left w:val="nil"/>
              <w:bottom w:val="nil"/>
              <w:right w:val="nil"/>
            </w:tcBorders>
          </w:tcPr>
          <w:p w:rsidR="0069759A" w:rsidRPr="00D7614D" w:rsidRDefault="0069759A" w:rsidP="0069759A">
            <w:pPr>
              <w:keepNext/>
              <w:keepLines/>
              <w:spacing w:before="80" w:after="80"/>
              <w:ind w:left="-85" w:right="33"/>
              <w:jc w:val="center"/>
              <w:rPr>
                <w:rFonts w:ascii="Arial" w:hAnsi="Arial" w:cs="Arial"/>
              </w:rPr>
            </w:pPr>
          </w:p>
        </w:tc>
        <w:tc>
          <w:tcPr>
            <w:tcW w:w="1080" w:type="dxa"/>
            <w:tcBorders>
              <w:top w:val="single" w:sz="6" w:space="0" w:color="auto"/>
              <w:left w:val="nil"/>
              <w:bottom w:val="nil"/>
              <w:right w:val="single" w:sz="6" w:space="0" w:color="auto"/>
            </w:tcBorders>
          </w:tcPr>
          <w:p w:rsidR="0069759A" w:rsidRPr="00D7614D" w:rsidRDefault="0069759A" w:rsidP="0069759A">
            <w:pPr>
              <w:keepNext/>
              <w:keepLines/>
              <w:spacing w:before="80" w:after="80"/>
              <w:ind w:left="-85" w:right="33"/>
              <w:jc w:val="center"/>
              <w:rPr>
                <w:rFonts w:ascii="Arial" w:hAnsi="Arial" w:cs="Arial"/>
              </w:rPr>
            </w:pPr>
          </w:p>
        </w:tc>
      </w:tr>
      <w:tr w:rsidR="0069759A" w:rsidRPr="00D7614D" w:rsidTr="0069759A">
        <w:tc>
          <w:tcPr>
            <w:tcW w:w="4395" w:type="dxa"/>
            <w:tcBorders>
              <w:top w:val="nil"/>
              <w:left w:val="single" w:sz="6" w:space="0" w:color="auto"/>
              <w:bottom w:val="nil"/>
              <w:right w:val="nil"/>
            </w:tcBorders>
          </w:tcPr>
          <w:p w:rsidR="0069759A" w:rsidRPr="00D7614D" w:rsidRDefault="0069759A" w:rsidP="0069759A">
            <w:pPr>
              <w:spacing w:after="80"/>
              <w:ind w:left="-85"/>
              <w:rPr>
                <w:rFonts w:ascii="Arial" w:hAnsi="Arial" w:cs="Arial"/>
              </w:rPr>
            </w:pPr>
            <w:r w:rsidRPr="00D7614D">
              <w:rPr>
                <w:rFonts w:ascii="Arial" w:hAnsi="Arial" w:cs="Arial"/>
              </w:rPr>
              <w:t>Number of preventable house fires per 100,000 households</w:t>
            </w:r>
          </w:p>
        </w:tc>
        <w:tc>
          <w:tcPr>
            <w:tcW w:w="1185" w:type="dxa"/>
            <w:tcBorders>
              <w:top w:val="nil"/>
              <w:left w:val="nil"/>
              <w:bottom w:val="nil"/>
              <w:right w:val="nil"/>
            </w:tcBorders>
          </w:tcPr>
          <w:p w:rsidR="0069759A" w:rsidRPr="008D00FA" w:rsidRDefault="0069759A" w:rsidP="002C0796">
            <w:pPr>
              <w:spacing w:after="80"/>
              <w:ind w:left="-85" w:right="33"/>
              <w:jc w:val="center"/>
              <w:rPr>
                <w:rFonts w:ascii="Arial" w:hAnsi="Arial" w:cs="Arial"/>
              </w:rPr>
            </w:pPr>
            <w:r w:rsidRPr="008D00FA">
              <w:rPr>
                <w:rFonts w:ascii="Arial" w:hAnsi="Arial" w:cs="Arial"/>
              </w:rPr>
              <w:t>1</w:t>
            </w:r>
            <w:r w:rsidR="002C0796" w:rsidRPr="008D00FA">
              <w:rPr>
                <w:rFonts w:ascii="Arial" w:hAnsi="Arial" w:cs="Arial"/>
              </w:rPr>
              <w:t>63</w:t>
            </w:r>
          </w:p>
        </w:tc>
        <w:tc>
          <w:tcPr>
            <w:tcW w:w="1080" w:type="dxa"/>
            <w:tcBorders>
              <w:top w:val="nil"/>
              <w:left w:val="nil"/>
              <w:bottom w:val="nil"/>
              <w:right w:val="nil"/>
            </w:tcBorders>
          </w:tcPr>
          <w:p w:rsidR="0069759A" w:rsidRPr="008D00FA" w:rsidRDefault="0069759A" w:rsidP="0014013A">
            <w:pPr>
              <w:spacing w:after="80"/>
              <w:ind w:left="-85" w:right="33"/>
              <w:jc w:val="center"/>
              <w:rPr>
                <w:rFonts w:ascii="Arial" w:hAnsi="Arial" w:cs="Arial"/>
              </w:rPr>
            </w:pPr>
            <w:r w:rsidRPr="008D00FA">
              <w:rPr>
                <w:rFonts w:ascii="Arial" w:hAnsi="Arial" w:cs="Arial"/>
              </w:rPr>
              <w:t>1</w:t>
            </w:r>
            <w:r w:rsidR="0014013A" w:rsidRPr="008D00FA">
              <w:rPr>
                <w:rFonts w:ascii="Arial" w:hAnsi="Arial" w:cs="Arial"/>
              </w:rPr>
              <w:t>75</w:t>
            </w:r>
            <w:r w:rsidRPr="008D00FA">
              <w:rPr>
                <w:rFonts w:ascii="Arial" w:hAnsi="Arial" w:cs="Arial"/>
              </w:rPr>
              <w:t xml:space="preserve"> </w:t>
            </w:r>
          </w:p>
        </w:tc>
        <w:tc>
          <w:tcPr>
            <w:tcW w:w="1080" w:type="dxa"/>
            <w:tcBorders>
              <w:top w:val="nil"/>
              <w:left w:val="nil"/>
              <w:bottom w:val="nil"/>
              <w:right w:val="nil"/>
            </w:tcBorders>
          </w:tcPr>
          <w:p w:rsidR="0069759A" w:rsidRPr="008D00FA" w:rsidRDefault="0069759A" w:rsidP="002C0796">
            <w:pPr>
              <w:spacing w:after="80"/>
              <w:ind w:left="-85" w:right="33"/>
              <w:jc w:val="center"/>
              <w:rPr>
                <w:rFonts w:ascii="Arial" w:hAnsi="Arial" w:cs="Arial"/>
              </w:rPr>
            </w:pPr>
            <w:r w:rsidRPr="008D00FA">
              <w:rPr>
                <w:rFonts w:ascii="Arial" w:hAnsi="Arial" w:cs="Arial"/>
              </w:rPr>
              <w:t>1</w:t>
            </w:r>
            <w:r w:rsidR="002C0796" w:rsidRPr="008D00FA">
              <w:rPr>
                <w:rFonts w:ascii="Arial" w:hAnsi="Arial" w:cs="Arial"/>
              </w:rPr>
              <w:t>60</w:t>
            </w:r>
            <w:r w:rsidRPr="008D00FA">
              <w:rPr>
                <w:rFonts w:ascii="Arial" w:hAnsi="Arial" w:cs="Arial"/>
              </w:rPr>
              <w:t xml:space="preserve"> </w:t>
            </w:r>
          </w:p>
        </w:tc>
        <w:tc>
          <w:tcPr>
            <w:tcW w:w="1080" w:type="dxa"/>
            <w:tcBorders>
              <w:top w:val="nil"/>
              <w:left w:val="nil"/>
              <w:bottom w:val="nil"/>
              <w:right w:val="nil"/>
            </w:tcBorders>
          </w:tcPr>
          <w:p w:rsidR="0069759A" w:rsidRPr="008D00FA" w:rsidRDefault="0069759A" w:rsidP="002C0796">
            <w:pPr>
              <w:spacing w:after="80"/>
              <w:ind w:left="-85" w:right="33"/>
              <w:jc w:val="center"/>
              <w:rPr>
                <w:rFonts w:ascii="Arial" w:hAnsi="Arial" w:cs="Arial"/>
              </w:rPr>
            </w:pPr>
            <w:r w:rsidRPr="008D00FA">
              <w:rPr>
                <w:rFonts w:ascii="Arial" w:hAnsi="Arial" w:cs="Arial"/>
              </w:rPr>
              <w:t>1</w:t>
            </w:r>
            <w:r w:rsidR="002C0796" w:rsidRPr="008D00FA">
              <w:rPr>
                <w:rFonts w:ascii="Arial" w:hAnsi="Arial" w:cs="Arial"/>
              </w:rPr>
              <w:t>55</w:t>
            </w:r>
          </w:p>
        </w:tc>
        <w:tc>
          <w:tcPr>
            <w:tcW w:w="1080" w:type="dxa"/>
            <w:tcBorders>
              <w:top w:val="nil"/>
              <w:left w:val="nil"/>
              <w:bottom w:val="nil"/>
              <w:right w:val="single" w:sz="6" w:space="0" w:color="auto"/>
            </w:tcBorders>
          </w:tcPr>
          <w:p w:rsidR="0069759A" w:rsidRPr="008D00FA" w:rsidRDefault="002C0796" w:rsidP="0069759A">
            <w:pPr>
              <w:spacing w:after="80"/>
              <w:ind w:left="-85" w:right="33"/>
              <w:jc w:val="center"/>
              <w:rPr>
                <w:rFonts w:ascii="Arial" w:hAnsi="Arial" w:cs="Arial"/>
              </w:rPr>
            </w:pPr>
            <w:r w:rsidRPr="008D00FA">
              <w:rPr>
                <w:rFonts w:ascii="Arial" w:hAnsi="Arial" w:cs="Arial"/>
              </w:rPr>
              <w:t>1</w:t>
            </w:r>
            <w:r w:rsidR="0069759A" w:rsidRPr="008D00FA">
              <w:rPr>
                <w:rFonts w:ascii="Arial" w:hAnsi="Arial" w:cs="Arial"/>
              </w:rPr>
              <w:t>5</w:t>
            </w:r>
            <w:r w:rsidRPr="008D00FA">
              <w:rPr>
                <w:rFonts w:ascii="Arial" w:hAnsi="Arial" w:cs="Arial"/>
              </w:rPr>
              <w:t>0</w:t>
            </w:r>
            <w:r w:rsidR="0069759A" w:rsidRPr="008D00FA">
              <w:rPr>
                <w:rFonts w:ascii="Arial" w:hAnsi="Arial" w:cs="Arial"/>
              </w:rPr>
              <w:t xml:space="preserve"> </w:t>
            </w:r>
          </w:p>
        </w:tc>
      </w:tr>
      <w:tr w:rsidR="0069759A" w:rsidRPr="00D7614D" w:rsidTr="0069759A">
        <w:tc>
          <w:tcPr>
            <w:tcW w:w="4395" w:type="dxa"/>
            <w:tcBorders>
              <w:top w:val="nil"/>
              <w:left w:val="single" w:sz="6" w:space="0" w:color="auto"/>
              <w:bottom w:val="nil"/>
              <w:right w:val="nil"/>
            </w:tcBorders>
          </w:tcPr>
          <w:p w:rsidR="0069759A" w:rsidRPr="00D7614D" w:rsidRDefault="0069759A" w:rsidP="0069759A">
            <w:pPr>
              <w:spacing w:before="80" w:after="80"/>
              <w:ind w:left="-85"/>
              <w:rPr>
                <w:rFonts w:ascii="Arial" w:hAnsi="Arial" w:cs="Arial"/>
                <w:sz w:val="24"/>
                <w:szCs w:val="24"/>
              </w:rPr>
            </w:pPr>
            <w:r>
              <w:rPr>
                <w:rFonts w:ascii="Arial" w:hAnsi="Arial" w:cs="Arial"/>
              </w:rPr>
              <w:t>Number of false alarms (DBA)</w:t>
            </w:r>
            <w:r w:rsidRPr="00D7614D">
              <w:rPr>
                <w:rFonts w:ascii="Arial" w:hAnsi="Arial" w:cs="Arial"/>
              </w:rPr>
              <w:t xml:space="preserve"> *</w:t>
            </w:r>
          </w:p>
        </w:tc>
        <w:tc>
          <w:tcPr>
            <w:tcW w:w="1185" w:type="dxa"/>
            <w:tcBorders>
              <w:top w:val="nil"/>
              <w:left w:val="nil"/>
              <w:bottom w:val="nil"/>
              <w:right w:val="nil"/>
            </w:tcBorders>
          </w:tcPr>
          <w:p w:rsidR="0069759A" w:rsidRPr="008D00FA" w:rsidRDefault="0069759A" w:rsidP="0014013A">
            <w:pPr>
              <w:keepNext/>
              <w:keepLines/>
              <w:spacing w:before="80" w:after="80"/>
              <w:ind w:left="-85" w:right="33"/>
              <w:jc w:val="center"/>
              <w:rPr>
                <w:rFonts w:ascii="Arial" w:hAnsi="Arial" w:cs="Arial"/>
              </w:rPr>
            </w:pPr>
            <w:r w:rsidRPr="008D00FA">
              <w:rPr>
                <w:rFonts w:ascii="Arial" w:hAnsi="Arial" w:cs="Arial"/>
              </w:rPr>
              <w:t>3,</w:t>
            </w:r>
            <w:r w:rsidR="0014013A" w:rsidRPr="008D00FA">
              <w:rPr>
                <w:rFonts w:ascii="Arial" w:hAnsi="Arial" w:cs="Arial"/>
              </w:rPr>
              <w:t>619</w:t>
            </w:r>
          </w:p>
        </w:tc>
        <w:tc>
          <w:tcPr>
            <w:tcW w:w="1080" w:type="dxa"/>
            <w:tcBorders>
              <w:top w:val="nil"/>
              <w:left w:val="nil"/>
              <w:bottom w:val="nil"/>
              <w:right w:val="nil"/>
            </w:tcBorders>
          </w:tcPr>
          <w:p w:rsidR="0069759A" w:rsidRPr="008D00FA" w:rsidRDefault="0069759A" w:rsidP="0014013A">
            <w:pPr>
              <w:keepNext/>
              <w:keepLines/>
              <w:spacing w:before="80" w:after="80"/>
              <w:ind w:left="-85" w:right="33"/>
              <w:jc w:val="center"/>
              <w:rPr>
                <w:rFonts w:ascii="Arial" w:hAnsi="Arial" w:cs="Arial"/>
              </w:rPr>
            </w:pPr>
            <w:r w:rsidRPr="008D00FA">
              <w:rPr>
                <w:rFonts w:ascii="Arial" w:hAnsi="Arial" w:cs="Arial"/>
              </w:rPr>
              <w:t>3,</w:t>
            </w:r>
            <w:r w:rsidR="0014013A" w:rsidRPr="008D00FA">
              <w:rPr>
                <w:rFonts w:ascii="Arial" w:hAnsi="Arial" w:cs="Arial"/>
              </w:rPr>
              <w:t>10</w:t>
            </w:r>
            <w:r w:rsidRPr="008D00FA">
              <w:rPr>
                <w:rFonts w:ascii="Arial" w:hAnsi="Arial" w:cs="Arial"/>
              </w:rPr>
              <w:t xml:space="preserve">0 </w:t>
            </w:r>
          </w:p>
        </w:tc>
        <w:tc>
          <w:tcPr>
            <w:tcW w:w="1080" w:type="dxa"/>
            <w:tcBorders>
              <w:top w:val="nil"/>
              <w:left w:val="nil"/>
              <w:bottom w:val="nil"/>
              <w:right w:val="nil"/>
            </w:tcBorders>
          </w:tcPr>
          <w:p w:rsidR="0069759A" w:rsidRPr="00D7614D" w:rsidRDefault="0069759A" w:rsidP="0069759A">
            <w:pPr>
              <w:keepNext/>
              <w:keepLines/>
              <w:spacing w:before="80" w:after="80"/>
              <w:ind w:left="-85" w:right="33"/>
              <w:jc w:val="center"/>
              <w:rPr>
                <w:rFonts w:ascii="Arial" w:hAnsi="Arial" w:cs="Arial"/>
              </w:rPr>
            </w:pPr>
            <w:r>
              <w:rPr>
                <w:rFonts w:ascii="Arial" w:hAnsi="Arial" w:cs="Arial"/>
              </w:rPr>
              <w:t xml:space="preserve">3,100 </w:t>
            </w:r>
          </w:p>
        </w:tc>
        <w:tc>
          <w:tcPr>
            <w:tcW w:w="1080" w:type="dxa"/>
            <w:tcBorders>
              <w:top w:val="nil"/>
              <w:left w:val="nil"/>
              <w:bottom w:val="nil"/>
              <w:right w:val="nil"/>
            </w:tcBorders>
          </w:tcPr>
          <w:p w:rsidR="0069759A" w:rsidRPr="00D7614D" w:rsidRDefault="0069759A" w:rsidP="0069759A">
            <w:pPr>
              <w:keepNext/>
              <w:keepLines/>
              <w:spacing w:before="80" w:after="80"/>
              <w:ind w:left="-85" w:right="33"/>
              <w:jc w:val="center"/>
              <w:rPr>
                <w:rFonts w:ascii="Arial" w:hAnsi="Arial" w:cs="Arial"/>
              </w:rPr>
            </w:pPr>
            <w:r>
              <w:rPr>
                <w:rFonts w:ascii="Arial" w:hAnsi="Arial" w:cs="Arial"/>
              </w:rPr>
              <w:t>3,000</w:t>
            </w:r>
          </w:p>
        </w:tc>
        <w:tc>
          <w:tcPr>
            <w:tcW w:w="1080" w:type="dxa"/>
            <w:tcBorders>
              <w:top w:val="nil"/>
              <w:left w:val="nil"/>
              <w:bottom w:val="nil"/>
              <w:right w:val="single" w:sz="6" w:space="0" w:color="auto"/>
            </w:tcBorders>
          </w:tcPr>
          <w:p w:rsidR="0069759A" w:rsidRPr="00D7614D" w:rsidRDefault="0069759A" w:rsidP="0069759A">
            <w:pPr>
              <w:keepNext/>
              <w:keepLines/>
              <w:spacing w:before="80" w:after="80"/>
              <w:ind w:left="-85" w:right="33"/>
              <w:jc w:val="center"/>
              <w:rPr>
                <w:rFonts w:ascii="Arial" w:hAnsi="Arial" w:cs="Arial"/>
              </w:rPr>
            </w:pPr>
            <w:r>
              <w:rPr>
                <w:rFonts w:ascii="Arial" w:hAnsi="Arial" w:cs="Arial"/>
              </w:rPr>
              <w:t xml:space="preserve">2,900 </w:t>
            </w:r>
          </w:p>
        </w:tc>
      </w:tr>
      <w:tr w:rsidR="0069759A" w:rsidRPr="00D7614D" w:rsidTr="0069759A">
        <w:tc>
          <w:tcPr>
            <w:tcW w:w="4395" w:type="dxa"/>
            <w:tcBorders>
              <w:top w:val="nil"/>
              <w:left w:val="single" w:sz="6" w:space="0" w:color="auto"/>
              <w:bottom w:val="nil"/>
              <w:right w:val="nil"/>
            </w:tcBorders>
          </w:tcPr>
          <w:p w:rsidR="0069759A" w:rsidRPr="00D7614D" w:rsidRDefault="0069759A" w:rsidP="0069759A">
            <w:pPr>
              <w:keepNext/>
              <w:keepLines/>
              <w:spacing w:before="80" w:after="80"/>
              <w:ind w:left="-85"/>
              <w:rPr>
                <w:rFonts w:ascii="Arial" w:hAnsi="Arial" w:cs="Arial"/>
              </w:rPr>
            </w:pPr>
            <w:r w:rsidRPr="00D7614D">
              <w:rPr>
                <w:rFonts w:ascii="Arial" w:hAnsi="Arial" w:cs="Arial"/>
              </w:rPr>
              <w:t>Percentage of fire causes undetermined</w:t>
            </w:r>
          </w:p>
        </w:tc>
        <w:tc>
          <w:tcPr>
            <w:tcW w:w="1185" w:type="dxa"/>
            <w:tcBorders>
              <w:top w:val="nil"/>
              <w:left w:val="nil"/>
              <w:bottom w:val="nil"/>
              <w:right w:val="nil"/>
            </w:tcBorders>
          </w:tcPr>
          <w:p w:rsidR="0069759A" w:rsidRPr="008D00FA" w:rsidRDefault="0069759A" w:rsidP="0014013A">
            <w:pPr>
              <w:keepNext/>
              <w:keepLines/>
              <w:spacing w:before="80" w:after="80"/>
              <w:ind w:left="-85" w:right="33"/>
              <w:jc w:val="center"/>
              <w:rPr>
                <w:rFonts w:ascii="Arial" w:hAnsi="Arial" w:cs="Arial"/>
              </w:rPr>
            </w:pPr>
            <w:r w:rsidRPr="008D00FA">
              <w:rPr>
                <w:rFonts w:ascii="Arial" w:hAnsi="Arial" w:cs="Arial"/>
              </w:rPr>
              <w:t>2</w:t>
            </w:r>
            <w:r w:rsidR="0014013A" w:rsidRPr="008D00FA">
              <w:rPr>
                <w:rFonts w:ascii="Arial" w:hAnsi="Arial" w:cs="Arial"/>
              </w:rPr>
              <w:t>1</w:t>
            </w:r>
            <w:r w:rsidRPr="008D00FA">
              <w:rPr>
                <w:rFonts w:ascii="Arial" w:hAnsi="Arial" w:cs="Arial"/>
              </w:rPr>
              <w:t>.0%</w:t>
            </w:r>
          </w:p>
        </w:tc>
        <w:tc>
          <w:tcPr>
            <w:tcW w:w="1080" w:type="dxa"/>
            <w:tcBorders>
              <w:top w:val="nil"/>
              <w:left w:val="nil"/>
              <w:bottom w:val="nil"/>
              <w:right w:val="nil"/>
            </w:tcBorders>
          </w:tcPr>
          <w:p w:rsidR="0069759A" w:rsidRPr="008D00FA" w:rsidRDefault="0014013A" w:rsidP="0069759A">
            <w:pPr>
              <w:keepNext/>
              <w:keepLines/>
              <w:spacing w:before="80" w:after="80"/>
              <w:ind w:left="-85" w:right="33"/>
              <w:jc w:val="center"/>
              <w:rPr>
                <w:rFonts w:ascii="Arial" w:hAnsi="Arial" w:cs="Arial"/>
              </w:rPr>
            </w:pPr>
            <w:r w:rsidRPr="008D00FA">
              <w:rPr>
                <w:rFonts w:ascii="Arial" w:hAnsi="Arial" w:cs="Arial"/>
              </w:rPr>
              <w:t>20</w:t>
            </w:r>
            <w:r w:rsidR="0069759A" w:rsidRPr="008D00FA">
              <w:rPr>
                <w:rFonts w:ascii="Arial" w:hAnsi="Arial" w:cs="Arial"/>
              </w:rPr>
              <w:t>.0%</w:t>
            </w:r>
          </w:p>
        </w:tc>
        <w:tc>
          <w:tcPr>
            <w:tcW w:w="1080" w:type="dxa"/>
            <w:tcBorders>
              <w:top w:val="nil"/>
              <w:left w:val="nil"/>
              <w:bottom w:val="nil"/>
              <w:right w:val="nil"/>
            </w:tcBorders>
          </w:tcPr>
          <w:p w:rsidR="0069759A" w:rsidRPr="00D7614D" w:rsidRDefault="0069759A" w:rsidP="0069759A">
            <w:pPr>
              <w:keepNext/>
              <w:keepLines/>
              <w:spacing w:before="80" w:after="80"/>
              <w:ind w:left="-85" w:right="33"/>
              <w:jc w:val="center"/>
              <w:rPr>
                <w:rFonts w:ascii="Arial" w:hAnsi="Arial" w:cs="Arial"/>
              </w:rPr>
            </w:pPr>
            <w:r>
              <w:rPr>
                <w:rFonts w:ascii="Arial" w:hAnsi="Arial" w:cs="Arial"/>
              </w:rPr>
              <w:t>20.0</w:t>
            </w:r>
            <w:r w:rsidRPr="00D7614D">
              <w:rPr>
                <w:rFonts w:ascii="Arial" w:hAnsi="Arial" w:cs="Arial"/>
              </w:rPr>
              <w:t>%</w:t>
            </w:r>
          </w:p>
        </w:tc>
        <w:tc>
          <w:tcPr>
            <w:tcW w:w="1080" w:type="dxa"/>
            <w:tcBorders>
              <w:top w:val="nil"/>
              <w:left w:val="nil"/>
              <w:bottom w:val="nil"/>
              <w:right w:val="nil"/>
            </w:tcBorders>
          </w:tcPr>
          <w:p w:rsidR="0069759A" w:rsidRPr="00D7614D" w:rsidRDefault="0069759A" w:rsidP="0069759A">
            <w:pPr>
              <w:keepNext/>
              <w:keepLines/>
              <w:spacing w:before="80" w:after="80"/>
              <w:ind w:left="-85" w:right="33"/>
              <w:jc w:val="center"/>
              <w:rPr>
                <w:rFonts w:ascii="Arial" w:hAnsi="Arial" w:cs="Arial"/>
              </w:rPr>
            </w:pPr>
            <w:r>
              <w:rPr>
                <w:rFonts w:ascii="Arial" w:hAnsi="Arial" w:cs="Arial"/>
              </w:rPr>
              <w:t>19.0</w:t>
            </w:r>
            <w:r w:rsidRPr="00D7614D">
              <w:rPr>
                <w:rFonts w:ascii="Arial" w:hAnsi="Arial" w:cs="Arial"/>
              </w:rPr>
              <w:t>%</w:t>
            </w:r>
          </w:p>
        </w:tc>
        <w:tc>
          <w:tcPr>
            <w:tcW w:w="1080" w:type="dxa"/>
            <w:tcBorders>
              <w:top w:val="nil"/>
              <w:left w:val="nil"/>
              <w:bottom w:val="nil"/>
              <w:right w:val="single" w:sz="6" w:space="0" w:color="auto"/>
            </w:tcBorders>
          </w:tcPr>
          <w:p w:rsidR="0069759A" w:rsidRPr="00D7614D" w:rsidRDefault="0069759A" w:rsidP="0069759A">
            <w:pPr>
              <w:keepNext/>
              <w:keepLines/>
              <w:spacing w:before="80" w:after="80"/>
              <w:ind w:left="-85" w:right="33"/>
              <w:jc w:val="center"/>
              <w:rPr>
                <w:rFonts w:ascii="Arial" w:hAnsi="Arial" w:cs="Arial"/>
              </w:rPr>
            </w:pPr>
            <w:r>
              <w:rPr>
                <w:rFonts w:ascii="Arial" w:hAnsi="Arial" w:cs="Arial"/>
              </w:rPr>
              <w:t>18. 0</w:t>
            </w:r>
            <w:r w:rsidRPr="00D7614D">
              <w:rPr>
                <w:rFonts w:ascii="Arial" w:hAnsi="Arial" w:cs="Arial"/>
              </w:rPr>
              <w:t>%</w:t>
            </w:r>
          </w:p>
        </w:tc>
      </w:tr>
      <w:tr w:rsidR="0069759A" w:rsidRPr="00D7614D" w:rsidTr="0069759A">
        <w:tc>
          <w:tcPr>
            <w:tcW w:w="4395" w:type="dxa"/>
            <w:tcBorders>
              <w:top w:val="nil"/>
              <w:left w:val="single" w:sz="6" w:space="0" w:color="auto"/>
              <w:bottom w:val="single" w:sz="6" w:space="0" w:color="auto"/>
              <w:right w:val="nil"/>
            </w:tcBorders>
          </w:tcPr>
          <w:p w:rsidR="0069759A" w:rsidRPr="00D7614D" w:rsidRDefault="0069759A" w:rsidP="0069759A">
            <w:pPr>
              <w:keepNext/>
              <w:keepLines/>
              <w:spacing w:before="80" w:after="80"/>
              <w:ind w:left="-85"/>
              <w:rPr>
                <w:rFonts w:ascii="Arial" w:hAnsi="Arial" w:cs="Arial"/>
              </w:rPr>
            </w:pPr>
            <w:r w:rsidRPr="00D7614D">
              <w:rPr>
                <w:rFonts w:ascii="Arial" w:hAnsi="Arial" w:cs="Arial"/>
              </w:rPr>
              <w:t>Percentage of fires in structures confined to room of origin</w:t>
            </w:r>
          </w:p>
        </w:tc>
        <w:tc>
          <w:tcPr>
            <w:tcW w:w="1185" w:type="dxa"/>
            <w:tcBorders>
              <w:top w:val="nil"/>
              <w:left w:val="nil"/>
              <w:bottom w:val="single" w:sz="6" w:space="0" w:color="auto"/>
              <w:right w:val="nil"/>
            </w:tcBorders>
          </w:tcPr>
          <w:p w:rsidR="0069759A" w:rsidRPr="008D00FA" w:rsidRDefault="0069759A" w:rsidP="0014013A">
            <w:pPr>
              <w:keepNext/>
              <w:keepLines/>
              <w:spacing w:before="80" w:after="80"/>
              <w:ind w:left="-85" w:right="33"/>
              <w:jc w:val="center"/>
              <w:rPr>
                <w:rFonts w:ascii="Arial" w:hAnsi="Arial" w:cs="Arial"/>
              </w:rPr>
            </w:pPr>
            <w:r w:rsidRPr="008D00FA">
              <w:rPr>
                <w:rFonts w:ascii="Arial" w:hAnsi="Arial" w:cs="Arial"/>
              </w:rPr>
              <w:t>7</w:t>
            </w:r>
            <w:r w:rsidR="0014013A" w:rsidRPr="008D00FA">
              <w:rPr>
                <w:rFonts w:ascii="Arial" w:hAnsi="Arial" w:cs="Arial"/>
              </w:rPr>
              <w:t>3.1</w:t>
            </w:r>
            <w:r w:rsidRPr="008D00FA">
              <w:rPr>
                <w:rFonts w:ascii="Arial" w:hAnsi="Arial" w:cs="Arial"/>
              </w:rPr>
              <w:t>%</w:t>
            </w:r>
          </w:p>
        </w:tc>
        <w:tc>
          <w:tcPr>
            <w:tcW w:w="1080" w:type="dxa"/>
            <w:tcBorders>
              <w:top w:val="nil"/>
              <w:left w:val="nil"/>
              <w:bottom w:val="single" w:sz="6" w:space="0" w:color="auto"/>
              <w:right w:val="nil"/>
            </w:tcBorders>
          </w:tcPr>
          <w:p w:rsidR="0069759A" w:rsidRPr="008D00FA" w:rsidRDefault="0069759A" w:rsidP="0014013A">
            <w:pPr>
              <w:keepNext/>
              <w:keepLines/>
              <w:spacing w:before="80" w:after="80"/>
              <w:ind w:left="-85" w:right="33"/>
              <w:jc w:val="center"/>
              <w:rPr>
                <w:rFonts w:ascii="Arial" w:hAnsi="Arial" w:cs="Arial"/>
              </w:rPr>
            </w:pPr>
            <w:r w:rsidRPr="008D00FA">
              <w:rPr>
                <w:rFonts w:ascii="Arial" w:hAnsi="Arial" w:cs="Arial"/>
              </w:rPr>
              <w:t>7</w:t>
            </w:r>
            <w:r w:rsidR="0014013A" w:rsidRPr="008D00FA">
              <w:rPr>
                <w:rFonts w:ascii="Arial" w:hAnsi="Arial" w:cs="Arial"/>
              </w:rPr>
              <w:t>5</w:t>
            </w:r>
            <w:r w:rsidRPr="008D00FA">
              <w:rPr>
                <w:rFonts w:ascii="Arial" w:hAnsi="Arial" w:cs="Arial"/>
              </w:rPr>
              <w:t>.0%</w:t>
            </w:r>
          </w:p>
        </w:tc>
        <w:tc>
          <w:tcPr>
            <w:tcW w:w="1080" w:type="dxa"/>
            <w:tcBorders>
              <w:top w:val="nil"/>
              <w:left w:val="nil"/>
              <w:bottom w:val="single" w:sz="6" w:space="0" w:color="auto"/>
              <w:right w:val="nil"/>
            </w:tcBorders>
          </w:tcPr>
          <w:p w:rsidR="0069759A" w:rsidRPr="00D7614D" w:rsidRDefault="0069759A" w:rsidP="0069759A">
            <w:pPr>
              <w:keepNext/>
              <w:keepLines/>
              <w:spacing w:before="80" w:after="80"/>
              <w:ind w:left="-85" w:right="33"/>
              <w:jc w:val="center"/>
              <w:rPr>
                <w:rFonts w:ascii="Arial" w:hAnsi="Arial" w:cs="Arial"/>
              </w:rPr>
            </w:pPr>
            <w:r>
              <w:rPr>
                <w:rFonts w:ascii="Arial" w:hAnsi="Arial" w:cs="Arial"/>
              </w:rPr>
              <w:t>75.0</w:t>
            </w:r>
            <w:r w:rsidRPr="00D7614D">
              <w:rPr>
                <w:rFonts w:ascii="Arial" w:hAnsi="Arial" w:cs="Arial"/>
              </w:rPr>
              <w:t>%</w:t>
            </w:r>
          </w:p>
        </w:tc>
        <w:tc>
          <w:tcPr>
            <w:tcW w:w="1080" w:type="dxa"/>
            <w:tcBorders>
              <w:top w:val="nil"/>
              <w:left w:val="nil"/>
              <w:bottom w:val="single" w:sz="6" w:space="0" w:color="auto"/>
              <w:right w:val="nil"/>
            </w:tcBorders>
          </w:tcPr>
          <w:p w:rsidR="0069759A" w:rsidRPr="00D7614D" w:rsidRDefault="0069759A" w:rsidP="0069759A">
            <w:pPr>
              <w:keepNext/>
              <w:keepLines/>
              <w:spacing w:before="80" w:after="80"/>
              <w:ind w:left="-85" w:right="33"/>
              <w:jc w:val="center"/>
              <w:rPr>
                <w:rFonts w:ascii="Arial" w:hAnsi="Arial" w:cs="Arial"/>
              </w:rPr>
            </w:pPr>
            <w:r>
              <w:rPr>
                <w:rFonts w:ascii="Arial" w:hAnsi="Arial" w:cs="Arial"/>
              </w:rPr>
              <w:t>75.0</w:t>
            </w:r>
            <w:r w:rsidRPr="00D7614D">
              <w:rPr>
                <w:rFonts w:ascii="Arial" w:hAnsi="Arial" w:cs="Arial"/>
              </w:rPr>
              <w:t>%</w:t>
            </w:r>
          </w:p>
        </w:tc>
        <w:tc>
          <w:tcPr>
            <w:tcW w:w="1080" w:type="dxa"/>
            <w:tcBorders>
              <w:top w:val="nil"/>
              <w:left w:val="nil"/>
              <w:bottom w:val="single" w:sz="6" w:space="0" w:color="auto"/>
              <w:right w:val="single" w:sz="6" w:space="0" w:color="auto"/>
            </w:tcBorders>
          </w:tcPr>
          <w:p w:rsidR="0069759A" w:rsidRPr="00D7614D" w:rsidRDefault="0069759A" w:rsidP="0069759A">
            <w:pPr>
              <w:keepNext/>
              <w:keepLines/>
              <w:spacing w:before="80" w:after="80"/>
              <w:ind w:left="-85" w:right="33"/>
              <w:jc w:val="center"/>
              <w:rPr>
                <w:rFonts w:ascii="Arial" w:hAnsi="Arial" w:cs="Arial"/>
              </w:rPr>
            </w:pPr>
            <w:r>
              <w:rPr>
                <w:rFonts w:ascii="Arial" w:hAnsi="Arial" w:cs="Arial"/>
              </w:rPr>
              <w:t>76.0</w:t>
            </w:r>
            <w:r w:rsidRPr="00D7614D">
              <w:rPr>
                <w:rFonts w:ascii="Arial" w:hAnsi="Arial" w:cs="Arial"/>
              </w:rPr>
              <w:t>%</w:t>
            </w:r>
          </w:p>
        </w:tc>
      </w:tr>
      <w:tr w:rsidR="0069759A" w:rsidRPr="00D7614D" w:rsidTr="0069759A">
        <w:tc>
          <w:tcPr>
            <w:tcW w:w="4395" w:type="dxa"/>
            <w:tcBorders>
              <w:top w:val="single" w:sz="6" w:space="0" w:color="auto"/>
              <w:left w:val="single" w:sz="6" w:space="0" w:color="auto"/>
              <w:bottom w:val="nil"/>
              <w:right w:val="nil"/>
            </w:tcBorders>
          </w:tcPr>
          <w:p w:rsidR="0069759A" w:rsidRPr="00D7614D" w:rsidRDefault="0069759A" w:rsidP="0069759A">
            <w:pPr>
              <w:keepNext/>
              <w:keepLines/>
              <w:spacing w:before="80" w:after="80"/>
              <w:ind w:left="-85"/>
              <w:rPr>
                <w:rFonts w:ascii="Arial" w:hAnsi="Arial" w:cs="Arial"/>
              </w:rPr>
            </w:pPr>
            <w:r w:rsidRPr="00D7614D">
              <w:rPr>
                <w:rFonts w:ascii="Arial" w:hAnsi="Arial" w:cs="Arial"/>
                <w:b/>
              </w:rPr>
              <w:t>Financial</w:t>
            </w:r>
          </w:p>
        </w:tc>
        <w:tc>
          <w:tcPr>
            <w:tcW w:w="1185" w:type="dxa"/>
            <w:tcBorders>
              <w:top w:val="single" w:sz="6" w:space="0" w:color="auto"/>
              <w:left w:val="nil"/>
              <w:bottom w:val="nil"/>
              <w:right w:val="nil"/>
            </w:tcBorders>
          </w:tcPr>
          <w:p w:rsidR="0069759A" w:rsidRPr="00D7614D" w:rsidRDefault="0069759A" w:rsidP="0069759A">
            <w:pPr>
              <w:keepNext/>
              <w:keepLines/>
              <w:spacing w:before="80" w:after="80"/>
              <w:ind w:left="-85"/>
              <w:jc w:val="center"/>
              <w:rPr>
                <w:rFonts w:ascii="Arial" w:hAnsi="Arial" w:cs="Arial"/>
              </w:rPr>
            </w:pPr>
          </w:p>
        </w:tc>
        <w:tc>
          <w:tcPr>
            <w:tcW w:w="1080" w:type="dxa"/>
            <w:tcBorders>
              <w:top w:val="single" w:sz="6" w:space="0" w:color="auto"/>
              <w:left w:val="nil"/>
              <w:bottom w:val="nil"/>
              <w:right w:val="nil"/>
            </w:tcBorders>
          </w:tcPr>
          <w:p w:rsidR="0069759A" w:rsidRPr="00D7614D" w:rsidRDefault="0069759A" w:rsidP="0069759A">
            <w:pPr>
              <w:keepNext/>
              <w:keepLines/>
              <w:spacing w:before="80" w:after="80"/>
              <w:ind w:left="-85"/>
              <w:jc w:val="center"/>
              <w:rPr>
                <w:rFonts w:ascii="Arial" w:hAnsi="Arial" w:cs="Arial"/>
              </w:rPr>
            </w:pPr>
          </w:p>
        </w:tc>
        <w:tc>
          <w:tcPr>
            <w:tcW w:w="1080" w:type="dxa"/>
            <w:tcBorders>
              <w:top w:val="single" w:sz="6" w:space="0" w:color="auto"/>
              <w:left w:val="nil"/>
              <w:bottom w:val="nil"/>
              <w:right w:val="nil"/>
            </w:tcBorders>
          </w:tcPr>
          <w:p w:rsidR="0069759A" w:rsidRPr="00D7614D" w:rsidRDefault="0069759A" w:rsidP="0069759A">
            <w:pPr>
              <w:keepNext/>
              <w:keepLines/>
              <w:spacing w:before="80" w:after="80"/>
              <w:ind w:left="-85"/>
              <w:jc w:val="center"/>
              <w:rPr>
                <w:rFonts w:ascii="Arial" w:hAnsi="Arial" w:cs="Arial"/>
              </w:rPr>
            </w:pPr>
          </w:p>
        </w:tc>
        <w:tc>
          <w:tcPr>
            <w:tcW w:w="1080" w:type="dxa"/>
            <w:tcBorders>
              <w:top w:val="single" w:sz="6" w:space="0" w:color="auto"/>
              <w:left w:val="nil"/>
              <w:bottom w:val="nil"/>
              <w:right w:val="nil"/>
            </w:tcBorders>
          </w:tcPr>
          <w:p w:rsidR="0069759A" w:rsidRPr="00D7614D" w:rsidRDefault="0069759A" w:rsidP="0069759A">
            <w:pPr>
              <w:keepNext/>
              <w:keepLines/>
              <w:spacing w:before="80" w:after="80"/>
              <w:ind w:left="-85"/>
              <w:jc w:val="center"/>
              <w:rPr>
                <w:rFonts w:ascii="Arial" w:hAnsi="Arial" w:cs="Arial"/>
              </w:rPr>
            </w:pPr>
          </w:p>
        </w:tc>
        <w:tc>
          <w:tcPr>
            <w:tcW w:w="1080" w:type="dxa"/>
            <w:tcBorders>
              <w:top w:val="single" w:sz="6" w:space="0" w:color="auto"/>
              <w:left w:val="nil"/>
              <w:bottom w:val="nil"/>
              <w:right w:val="single" w:sz="6" w:space="0" w:color="auto"/>
            </w:tcBorders>
          </w:tcPr>
          <w:p w:rsidR="0069759A" w:rsidRPr="00D7614D" w:rsidRDefault="0069759A" w:rsidP="0069759A">
            <w:pPr>
              <w:keepNext/>
              <w:keepLines/>
              <w:spacing w:before="80" w:after="80"/>
              <w:ind w:left="-85"/>
              <w:jc w:val="center"/>
              <w:rPr>
                <w:rFonts w:ascii="Arial" w:hAnsi="Arial" w:cs="Arial"/>
              </w:rPr>
            </w:pPr>
          </w:p>
        </w:tc>
      </w:tr>
      <w:tr w:rsidR="0069759A" w:rsidRPr="00D7614D" w:rsidTr="0069759A">
        <w:tc>
          <w:tcPr>
            <w:tcW w:w="4395" w:type="dxa"/>
            <w:tcBorders>
              <w:top w:val="nil"/>
              <w:left w:val="single" w:sz="6" w:space="0" w:color="auto"/>
              <w:bottom w:val="nil"/>
              <w:right w:val="nil"/>
            </w:tcBorders>
          </w:tcPr>
          <w:p w:rsidR="0069759A" w:rsidRPr="00D7614D" w:rsidRDefault="0069759A" w:rsidP="0069759A">
            <w:pPr>
              <w:keepNext/>
              <w:keepLines/>
              <w:spacing w:before="80" w:after="80"/>
              <w:ind w:left="-85"/>
              <w:rPr>
                <w:rFonts w:ascii="Arial" w:hAnsi="Arial" w:cs="Arial"/>
              </w:rPr>
            </w:pPr>
            <w:r w:rsidRPr="00D7614D">
              <w:rPr>
                <w:rFonts w:ascii="Arial" w:hAnsi="Arial" w:cs="Arial"/>
              </w:rPr>
              <w:t>Operating surplus after abnormal items</w:t>
            </w:r>
          </w:p>
        </w:tc>
        <w:tc>
          <w:tcPr>
            <w:tcW w:w="1185" w:type="dxa"/>
            <w:tcBorders>
              <w:top w:val="nil"/>
              <w:left w:val="nil"/>
              <w:bottom w:val="nil"/>
              <w:right w:val="nil"/>
            </w:tcBorders>
          </w:tcPr>
          <w:p w:rsidR="0069759A" w:rsidRPr="008D00FA" w:rsidRDefault="0069759A" w:rsidP="0069759A">
            <w:pPr>
              <w:keepNext/>
              <w:keepLines/>
              <w:spacing w:before="80" w:after="80"/>
              <w:ind w:left="-85"/>
              <w:jc w:val="center"/>
              <w:rPr>
                <w:rFonts w:ascii="Arial" w:hAnsi="Arial" w:cs="Arial"/>
              </w:rPr>
            </w:pPr>
            <w:r w:rsidRPr="008D00FA">
              <w:rPr>
                <w:rFonts w:ascii="Arial" w:hAnsi="Arial" w:cs="Arial"/>
              </w:rPr>
              <w:t>$4.4m</w:t>
            </w:r>
          </w:p>
        </w:tc>
        <w:tc>
          <w:tcPr>
            <w:tcW w:w="1080" w:type="dxa"/>
            <w:tcBorders>
              <w:top w:val="nil"/>
              <w:left w:val="nil"/>
              <w:bottom w:val="nil"/>
              <w:right w:val="nil"/>
            </w:tcBorders>
          </w:tcPr>
          <w:p w:rsidR="0069759A" w:rsidRPr="008D00FA" w:rsidRDefault="0069759A" w:rsidP="0069759A">
            <w:pPr>
              <w:keepNext/>
              <w:keepLines/>
              <w:spacing w:before="80" w:after="80"/>
              <w:ind w:left="-85"/>
              <w:jc w:val="center"/>
              <w:rPr>
                <w:rFonts w:ascii="Arial" w:hAnsi="Arial" w:cs="Arial"/>
              </w:rPr>
            </w:pPr>
            <w:r w:rsidRPr="008D00FA">
              <w:rPr>
                <w:rFonts w:ascii="Arial" w:hAnsi="Arial" w:cs="Arial"/>
              </w:rPr>
              <w:t>$0.1m</w:t>
            </w:r>
          </w:p>
        </w:tc>
        <w:tc>
          <w:tcPr>
            <w:tcW w:w="1080" w:type="dxa"/>
            <w:tcBorders>
              <w:top w:val="nil"/>
              <w:left w:val="nil"/>
              <w:bottom w:val="nil"/>
              <w:right w:val="nil"/>
            </w:tcBorders>
          </w:tcPr>
          <w:p w:rsidR="0069759A" w:rsidRPr="008D00FA" w:rsidRDefault="00613445" w:rsidP="0069759A">
            <w:pPr>
              <w:keepNext/>
              <w:keepLines/>
              <w:spacing w:before="80" w:after="80"/>
              <w:ind w:left="-85"/>
              <w:jc w:val="center"/>
              <w:rPr>
                <w:rFonts w:ascii="Arial" w:hAnsi="Arial" w:cs="Arial"/>
              </w:rPr>
            </w:pPr>
            <w:r>
              <w:rPr>
                <w:rFonts w:ascii="Arial" w:hAnsi="Arial" w:cs="Arial"/>
              </w:rPr>
              <w:t>($0.7</w:t>
            </w:r>
            <w:r w:rsidR="0069759A" w:rsidRPr="008D00FA">
              <w:rPr>
                <w:rFonts w:ascii="Arial" w:hAnsi="Arial" w:cs="Arial"/>
              </w:rPr>
              <w:t>m</w:t>
            </w:r>
            <w:r>
              <w:rPr>
                <w:rFonts w:ascii="Arial" w:hAnsi="Arial" w:cs="Arial"/>
              </w:rPr>
              <w:t>)</w:t>
            </w:r>
            <w:r w:rsidR="0069759A" w:rsidRPr="008D00FA">
              <w:rPr>
                <w:rFonts w:ascii="Arial" w:hAnsi="Arial" w:cs="Arial"/>
              </w:rPr>
              <w:t xml:space="preserve"> </w:t>
            </w:r>
          </w:p>
        </w:tc>
        <w:tc>
          <w:tcPr>
            <w:tcW w:w="1080" w:type="dxa"/>
            <w:tcBorders>
              <w:top w:val="nil"/>
              <w:left w:val="nil"/>
              <w:bottom w:val="nil"/>
              <w:right w:val="nil"/>
            </w:tcBorders>
          </w:tcPr>
          <w:p w:rsidR="0069759A" w:rsidRPr="008D00FA" w:rsidRDefault="00613445" w:rsidP="0069759A">
            <w:pPr>
              <w:keepNext/>
              <w:keepLines/>
              <w:spacing w:before="80" w:after="80"/>
              <w:ind w:left="-85"/>
              <w:jc w:val="center"/>
              <w:rPr>
                <w:rFonts w:ascii="Arial" w:hAnsi="Arial" w:cs="Arial"/>
              </w:rPr>
            </w:pPr>
            <w:r>
              <w:rPr>
                <w:rFonts w:ascii="Arial" w:hAnsi="Arial" w:cs="Arial"/>
              </w:rPr>
              <w:t>($1.9</w:t>
            </w:r>
            <w:r w:rsidR="0069759A" w:rsidRPr="008D00FA">
              <w:rPr>
                <w:rFonts w:ascii="Arial" w:hAnsi="Arial" w:cs="Arial"/>
              </w:rPr>
              <w:t xml:space="preserve">m)  </w:t>
            </w:r>
          </w:p>
        </w:tc>
        <w:tc>
          <w:tcPr>
            <w:tcW w:w="1080" w:type="dxa"/>
            <w:tcBorders>
              <w:top w:val="nil"/>
              <w:left w:val="nil"/>
              <w:bottom w:val="nil"/>
              <w:right w:val="single" w:sz="6" w:space="0" w:color="auto"/>
            </w:tcBorders>
          </w:tcPr>
          <w:p w:rsidR="0069759A" w:rsidRPr="008D00FA" w:rsidRDefault="00613445" w:rsidP="0069759A">
            <w:pPr>
              <w:keepNext/>
              <w:keepLines/>
              <w:spacing w:before="80" w:after="80"/>
              <w:ind w:left="-85"/>
              <w:jc w:val="center"/>
              <w:rPr>
                <w:rFonts w:ascii="Arial" w:hAnsi="Arial" w:cs="Arial"/>
              </w:rPr>
            </w:pPr>
            <w:r>
              <w:rPr>
                <w:rFonts w:ascii="Arial" w:hAnsi="Arial" w:cs="Arial"/>
              </w:rPr>
              <w:t xml:space="preserve"> ($2.5</w:t>
            </w:r>
            <w:r w:rsidR="0069759A" w:rsidRPr="008D00FA">
              <w:rPr>
                <w:rFonts w:ascii="Arial" w:hAnsi="Arial" w:cs="Arial"/>
              </w:rPr>
              <w:t>m)</w:t>
            </w:r>
          </w:p>
        </w:tc>
      </w:tr>
      <w:tr w:rsidR="0069759A" w:rsidRPr="00D7614D" w:rsidTr="0069759A">
        <w:tc>
          <w:tcPr>
            <w:tcW w:w="4395" w:type="dxa"/>
            <w:tcBorders>
              <w:top w:val="nil"/>
              <w:left w:val="single" w:sz="6" w:space="0" w:color="auto"/>
              <w:bottom w:val="nil"/>
              <w:right w:val="nil"/>
            </w:tcBorders>
          </w:tcPr>
          <w:p w:rsidR="0069759A" w:rsidRPr="00D7614D" w:rsidRDefault="0069759A" w:rsidP="0069759A">
            <w:pPr>
              <w:keepNext/>
              <w:keepLines/>
              <w:spacing w:before="80" w:after="80"/>
              <w:ind w:left="-85"/>
              <w:rPr>
                <w:rFonts w:ascii="Arial" w:hAnsi="Arial" w:cs="Arial"/>
              </w:rPr>
            </w:pPr>
            <w:r w:rsidRPr="00D7614D">
              <w:rPr>
                <w:rFonts w:ascii="Arial" w:hAnsi="Arial" w:cs="Arial"/>
              </w:rPr>
              <w:t>Return on assets</w:t>
            </w:r>
          </w:p>
        </w:tc>
        <w:tc>
          <w:tcPr>
            <w:tcW w:w="1185" w:type="dxa"/>
            <w:tcBorders>
              <w:top w:val="nil"/>
              <w:left w:val="nil"/>
              <w:bottom w:val="nil"/>
              <w:right w:val="nil"/>
            </w:tcBorders>
          </w:tcPr>
          <w:p w:rsidR="0069759A" w:rsidRPr="008D00FA" w:rsidRDefault="0069759A" w:rsidP="0069759A">
            <w:pPr>
              <w:keepNext/>
              <w:keepLines/>
              <w:spacing w:before="80" w:after="80"/>
              <w:ind w:left="-85"/>
              <w:jc w:val="center"/>
              <w:rPr>
                <w:rFonts w:ascii="Arial" w:hAnsi="Arial" w:cs="Arial"/>
              </w:rPr>
            </w:pPr>
            <w:r w:rsidRPr="008D00FA">
              <w:rPr>
                <w:rFonts w:ascii="Arial" w:hAnsi="Arial" w:cs="Arial"/>
              </w:rPr>
              <w:t>4.4%</w:t>
            </w:r>
          </w:p>
        </w:tc>
        <w:tc>
          <w:tcPr>
            <w:tcW w:w="1080" w:type="dxa"/>
            <w:tcBorders>
              <w:top w:val="nil"/>
              <w:left w:val="nil"/>
              <w:bottom w:val="nil"/>
              <w:right w:val="nil"/>
            </w:tcBorders>
          </w:tcPr>
          <w:p w:rsidR="0069759A" w:rsidRPr="008D00FA" w:rsidRDefault="0014013A" w:rsidP="0069759A">
            <w:pPr>
              <w:keepNext/>
              <w:keepLines/>
              <w:spacing w:before="80" w:after="80"/>
              <w:ind w:left="-85"/>
              <w:jc w:val="center"/>
              <w:rPr>
                <w:rFonts w:ascii="Arial" w:hAnsi="Arial" w:cs="Arial"/>
              </w:rPr>
            </w:pPr>
            <w:r w:rsidRPr="008D00FA">
              <w:rPr>
                <w:rFonts w:ascii="Arial" w:hAnsi="Arial" w:cs="Arial"/>
              </w:rPr>
              <w:t>0.5</w:t>
            </w:r>
            <w:r w:rsidR="0069759A" w:rsidRPr="008D00FA">
              <w:rPr>
                <w:rFonts w:ascii="Arial" w:hAnsi="Arial" w:cs="Arial"/>
              </w:rPr>
              <w:t>%</w:t>
            </w:r>
          </w:p>
        </w:tc>
        <w:tc>
          <w:tcPr>
            <w:tcW w:w="1080" w:type="dxa"/>
            <w:tcBorders>
              <w:top w:val="nil"/>
              <w:left w:val="nil"/>
              <w:bottom w:val="nil"/>
              <w:right w:val="nil"/>
            </w:tcBorders>
          </w:tcPr>
          <w:p w:rsidR="0069759A" w:rsidRPr="008D00FA" w:rsidRDefault="00613445" w:rsidP="0069759A">
            <w:pPr>
              <w:keepNext/>
              <w:keepLines/>
              <w:spacing w:before="80" w:after="80"/>
              <w:ind w:left="-85"/>
              <w:jc w:val="center"/>
              <w:rPr>
                <w:rFonts w:ascii="Arial" w:hAnsi="Arial" w:cs="Arial"/>
              </w:rPr>
            </w:pPr>
            <w:r>
              <w:rPr>
                <w:rFonts w:ascii="Arial" w:hAnsi="Arial" w:cs="Arial"/>
              </w:rPr>
              <w:t>(0.3</w:t>
            </w:r>
            <w:r w:rsidR="0069759A" w:rsidRPr="008D00FA">
              <w:rPr>
                <w:rFonts w:ascii="Arial" w:hAnsi="Arial" w:cs="Arial"/>
              </w:rPr>
              <w:t>%</w:t>
            </w:r>
            <w:r>
              <w:rPr>
                <w:rFonts w:ascii="Arial" w:hAnsi="Arial" w:cs="Arial"/>
              </w:rPr>
              <w:t>)</w:t>
            </w:r>
          </w:p>
        </w:tc>
        <w:tc>
          <w:tcPr>
            <w:tcW w:w="1080" w:type="dxa"/>
            <w:tcBorders>
              <w:top w:val="nil"/>
              <w:left w:val="nil"/>
              <w:bottom w:val="nil"/>
              <w:right w:val="nil"/>
            </w:tcBorders>
          </w:tcPr>
          <w:p w:rsidR="0069759A" w:rsidRPr="008D00FA" w:rsidRDefault="0069759A" w:rsidP="00613445">
            <w:pPr>
              <w:keepNext/>
              <w:keepLines/>
              <w:spacing w:before="80" w:after="80"/>
              <w:ind w:left="-85"/>
              <w:jc w:val="center"/>
              <w:rPr>
                <w:rFonts w:ascii="Arial" w:hAnsi="Arial" w:cs="Arial"/>
              </w:rPr>
            </w:pPr>
            <w:r w:rsidRPr="008D00FA">
              <w:rPr>
                <w:rFonts w:ascii="Arial" w:hAnsi="Arial" w:cs="Arial"/>
              </w:rPr>
              <w:t>(</w:t>
            </w:r>
            <w:r w:rsidR="00613445">
              <w:rPr>
                <w:rFonts w:ascii="Arial" w:hAnsi="Arial" w:cs="Arial"/>
              </w:rPr>
              <w:t>1.3</w:t>
            </w:r>
            <w:r w:rsidRPr="008D00FA">
              <w:rPr>
                <w:rFonts w:ascii="Arial" w:hAnsi="Arial" w:cs="Arial"/>
              </w:rPr>
              <w:t>%)</w:t>
            </w:r>
          </w:p>
        </w:tc>
        <w:tc>
          <w:tcPr>
            <w:tcW w:w="1080" w:type="dxa"/>
            <w:tcBorders>
              <w:top w:val="nil"/>
              <w:left w:val="nil"/>
              <w:bottom w:val="nil"/>
              <w:right w:val="single" w:sz="6" w:space="0" w:color="auto"/>
            </w:tcBorders>
          </w:tcPr>
          <w:p w:rsidR="0069759A" w:rsidRPr="008D00FA" w:rsidRDefault="0069759A" w:rsidP="00613445">
            <w:pPr>
              <w:keepNext/>
              <w:keepLines/>
              <w:spacing w:before="80" w:after="80"/>
              <w:ind w:left="-85"/>
              <w:jc w:val="center"/>
              <w:rPr>
                <w:rFonts w:ascii="Arial" w:hAnsi="Arial" w:cs="Arial"/>
              </w:rPr>
            </w:pPr>
            <w:r w:rsidRPr="008D00FA">
              <w:rPr>
                <w:rFonts w:ascii="Arial" w:hAnsi="Arial" w:cs="Arial"/>
              </w:rPr>
              <w:t>(</w:t>
            </w:r>
            <w:r w:rsidR="00613445">
              <w:rPr>
                <w:rFonts w:ascii="Arial" w:hAnsi="Arial" w:cs="Arial"/>
              </w:rPr>
              <w:t>1.9</w:t>
            </w:r>
            <w:r w:rsidRPr="008D00FA">
              <w:rPr>
                <w:rFonts w:ascii="Arial" w:hAnsi="Arial" w:cs="Arial"/>
              </w:rPr>
              <w:t xml:space="preserve">%) </w:t>
            </w:r>
          </w:p>
        </w:tc>
      </w:tr>
      <w:tr w:rsidR="0069759A" w:rsidRPr="00D7614D" w:rsidTr="0069759A">
        <w:tc>
          <w:tcPr>
            <w:tcW w:w="4395" w:type="dxa"/>
            <w:tcBorders>
              <w:top w:val="nil"/>
              <w:left w:val="single" w:sz="6" w:space="0" w:color="auto"/>
              <w:bottom w:val="nil"/>
              <w:right w:val="nil"/>
            </w:tcBorders>
          </w:tcPr>
          <w:p w:rsidR="0069759A" w:rsidRPr="00D7614D" w:rsidRDefault="0069759A" w:rsidP="0069759A">
            <w:pPr>
              <w:keepNext/>
              <w:keepLines/>
              <w:spacing w:before="80" w:after="80"/>
              <w:ind w:left="-85"/>
              <w:rPr>
                <w:rFonts w:ascii="Arial" w:hAnsi="Arial" w:cs="Arial"/>
              </w:rPr>
            </w:pPr>
            <w:r w:rsidRPr="00D7614D">
              <w:rPr>
                <w:rFonts w:ascii="Arial" w:hAnsi="Arial" w:cs="Arial"/>
              </w:rPr>
              <w:t>Return on equity</w:t>
            </w:r>
          </w:p>
        </w:tc>
        <w:tc>
          <w:tcPr>
            <w:tcW w:w="1185" w:type="dxa"/>
            <w:tcBorders>
              <w:top w:val="nil"/>
              <w:left w:val="nil"/>
              <w:bottom w:val="nil"/>
              <w:right w:val="nil"/>
            </w:tcBorders>
          </w:tcPr>
          <w:p w:rsidR="0069759A" w:rsidRPr="008D00FA" w:rsidRDefault="0069759A" w:rsidP="0069759A">
            <w:pPr>
              <w:keepNext/>
              <w:keepLines/>
              <w:spacing w:before="80" w:after="80"/>
              <w:ind w:left="-85"/>
              <w:jc w:val="center"/>
              <w:rPr>
                <w:rFonts w:ascii="Arial" w:hAnsi="Arial" w:cs="Arial"/>
              </w:rPr>
            </w:pPr>
            <w:r w:rsidRPr="008D00FA">
              <w:rPr>
                <w:rFonts w:ascii="Arial" w:hAnsi="Arial" w:cs="Arial"/>
              </w:rPr>
              <w:t>5.6%</w:t>
            </w:r>
          </w:p>
        </w:tc>
        <w:tc>
          <w:tcPr>
            <w:tcW w:w="1080" w:type="dxa"/>
            <w:tcBorders>
              <w:top w:val="nil"/>
              <w:left w:val="nil"/>
              <w:bottom w:val="nil"/>
              <w:right w:val="nil"/>
            </w:tcBorders>
          </w:tcPr>
          <w:p w:rsidR="0069759A" w:rsidRPr="008D00FA" w:rsidRDefault="0069759A" w:rsidP="0069759A">
            <w:pPr>
              <w:keepNext/>
              <w:keepLines/>
              <w:spacing w:before="80" w:after="80"/>
              <w:ind w:left="-85"/>
              <w:jc w:val="center"/>
              <w:rPr>
                <w:rFonts w:ascii="Arial" w:hAnsi="Arial" w:cs="Arial"/>
              </w:rPr>
            </w:pPr>
            <w:r w:rsidRPr="008D00FA">
              <w:rPr>
                <w:rFonts w:ascii="Arial" w:hAnsi="Arial" w:cs="Arial"/>
              </w:rPr>
              <w:t>0.2%</w:t>
            </w:r>
          </w:p>
        </w:tc>
        <w:tc>
          <w:tcPr>
            <w:tcW w:w="1080" w:type="dxa"/>
            <w:tcBorders>
              <w:top w:val="nil"/>
              <w:left w:val="nil"/>
              <w:bottom w:val="nil"/>
              <w:right w:val="nil"/>
            </w:tcBorders>
          </w:tcPr>
          <w:p w:rsidR="0069759A" w:rsidRPr="008D00FA" w:rsidRDefault="00613445" w:rsidP="0069759A">
            <w:pPr>
              <w:keepNext/>
              <w:keepLines/>
              <w:spacing w:before="80" w:after="80"/>
              <w:ind w:left="-85"/>
              <w:jc w:val="center"/>
              <w:rPr>
                <w:rFonts w:ascii="Arial" w:hAnsi="Arial" w:cs="Arial"/>
              </w:rPr>
            </w:pPr>
            <w:r>
              <w:rPr>
                <w:rFonts w:ascii="Arial" w:hAnsi="Arial" w:cs="Arial"/>
              </w:rPr>
              <w:t>(0.9</w:t>
            </w:r>
            <w:r w:rsidR="0069759A" w:rsidRPr="008D00FA">
              <w:rPr>
                <w:rFonts w:ascii="Arial" w:hAnsi="Arial" w:cs="Arial"/>
              </w:rPr>
              <w:t>%</w:t>
            </w:r>
            <w:r>
              <w:rPr>
                <w:rFonts w:ascii="Arial" w:hAnsi="Arial" w:cs="Arial"/>
              </w:rPr>
              <w:t>)</w:t>
            </w:r>
          </w:p>
        </w:tc>
        <w:tc>
          <w:tcPr>
            <w:tcW w:w="1080" w:type="dxa"/>
            <w:tcBorders>
              <w:top w:val="nil"/>
              <w:left w:val="nil"/>
              <w:bottom w:val="nil"/>
              <w:right w:val="nil"/>
            </w:tcBorders>
          </w:tcPr>
          <w:p w:rsidR="0069759A" w:rsidRPr="008D00FA" w:rsidRDefault="0069759A" w:rsidP="00613445">
            <w:pPr>
              <w:keepNext/>
              <w:keepLines/>
              <w:spacing w:before="80" w:after="80"/>
              <w:ind w:left="-85"/>
              <w:jc w:val="center"/>
              <w:rPr>
                <w:rFonts w:ascii="Arial" w:hAnsi="Arial" w:cs="Arial"/>
              </w:rPr>
            </w:pPr>
            <w:r w:rsidRPr="008D00FA">
              <w:rPr>
                <w:rFonts w:ascii="Arial" w:hAnsi="Arial" w:cs="Arial"/>
              </w:rPr>
              <w:t>(</w:t>
            </w:r>
            <w:r w:rsidR="00613445">
              <w:rPr>
                <w:rFonts w:ascii="Arial" w:hAnsi="Arial" w:cs="Arial"/>
              </w:rPr>
              <w:t>2.2</w:t>
            </w:r>
            <w:r w:rsidRPr="008D00FA">
              <w:rPr>
                <w:rFonts w:ascii="Arial" w:hAnsi="Arial" w:cs="Arial"/>
              </w:rPr>
              <w:t xml:space="preserve">%) </w:t>
            </w:r>
          </w:p>
        </w:tc>
        <w:tc>
          <w:tcPr>
            <w:tcW w:w="1080" w:type="dxa"/>
            <w:tcBorders>
              <w:top w:val="nil"/>
              <w:left w:val="nil"/>
              <w:bottom w:val="nil"/>
              <w:right w:val="single" w:sz="6" w:space="0" w:color="auto"/>
            </w:tcBorders>
          </w:tcPr>
          <w:p w:rsidR="0069759A" w:rsidRPr="008D00FA" w:rsidRDefault="0069759A" w:rsidP="00613445">
            <w:pPr>
              <w:keepNext/>
              <w:keepLines/>
              <w:spacing w:before="80" w:after="80"/>
              <w:ind w:left="-85"/>
              <w:jc w:val="center"/>
              <w:rPr>
                <w:rFonts w:ascii="Arial" w:hAnsi="Arial" w:cs="Arial"/>
              </w:rPr>
            </w:pPr>
            <w:r w:rsidRPr="008D00FA">
              <w:rPr>
                <w:rFonts w:ascii="Arial" w:hAnsi="Arial" w:cs="Arial"/>
              </w:rPr>
              <w:t>(</w:t>
            </w:r>
            <w:r w:rsidR="00613445">
              <w:rPr>
                <w:rFonts w:ascii="Arial" w:hAnsi="Arial" w:cs="Arial"/>
              </w:rPr>
              <w:t>3.1</w:t>
            </w:r>
            <w:r w:rsidRPr="008D00FA">
              <w:rPr>
                <w:rFonts w:ascii="Arial" w:hAnsi="Arial" w:cs="Arial"/>
              </w:rPr>
              <w:t>%)</w:t>
            </w:r>
          </w:p>
        </w:tc>
      </w:tr>
      <w:tr w:rsidR="0069759A" w:rsidRPr="00D7614D" w:rsidTr="0069759A">
        <w:tc>
          <w:tcPr>
            <w:tcW w:w="4395" w:type="dxa"/>
            <w:tcBorders>
              <w:top w:val="nil"/>
              <w:left w:val="single" w:sz="6" w:space="0" w:color="auto"/>
              <w:bottom w:val="nil"/>
              <w:right w:val="nil"/>
            </w:tcBorders>
          </w:tcPr>
          <w:p w:rsidR="0069759A" w:rsidRPr="00D7614D" w:rsidRDefault="0069759A" w:rsidP="0069759A">
            <w:pPr>
              <w:keepNext/>
              <w:keepLines/>
              <w:spacing w:before="80" w:after="80"/>
              <w:ind w:left="-85"/>
              <w:rPr>
                <w:rFonts w:ascii="Arial" w:hAnsi="Arial" w:cs="Arial"/>
              </w:rPr>
            </w:pPr>
            <w:r w:rsidRPr="00D7614D">
              <w:rPr>
                <w:rFonts w:ascii="Arial" w:hAnsi="Arial" w:cs="Arial"/>
              </w:rPr>
              <w:t>Debt to equity</w:t>
            </w:r>
          </w:p>
        </w:tc>
        <w:tc>
          <w:tcPr>
            <w:tcW w:w="1185" w:type="dxa"/>
            <w:tcBorders>
              <w:top w:val="nil"/>
              <w:left w:val="nil"/>
              <w:bottom w:val="nil"/>
              <w:right w:val="nil"/>
            </w:tcBorders>
          </w:tcPr>
          <w:p w:rsidR="0069759A" w:rsidRPr="008D00FA" w:rsidRDefault="0069759A" w:rsidP="0069759A">
            <w:pPr>
              <w:keepNext/>
              <w:keepLines/>
              <w:spacing w:before="80" w:after="80"/>
              <w:ind w:left="-85"/>
              <w:jc w:val="center"/>
              <w:rPr>
                <w:rFonts w:ascii="Arial" w:hAnsi="Arial" w:cs="Arial"/>
              </w:rPr>
            </w:pPr>
            <w:r w:rsidRPr="008D00FA">
              <w:rPr>
                <w:rFonts w:ascii="Arial" w:hAnsi="Arial" w:cs="Arial"/>
              </w:rPr>
              <w:t>5.6%</w:t>
            </w:r>
          </w:p>
        </w:tc>
        <w:tc>
          <w:tcPr>
            <w:tcW w:w="1080" w:type="dxa"/>
            <w:tcBorders>
              <w:top w:val="nil"/>
              <w:left w:val="nil"/>
              <w:bottom w:val="nil"/>
              <w:right w:val="nil"/>
            </w:tcBorders>
          </w:tcPr>
          <w:p w:rsidR="0069759A" w:rsidRPr="008D00FA" w:rsidRDefault="0069759A" w:rsidP="0069759A">
            <w:pPr>
              <w:keepNext/>
              <w:keepLines/>
              <w:spacing w:before="80" w:after="80"/>
              <w:ind w:left="-85"/>
              <w:jc w:val="center"/>
              <w:rPr>
                <w:rFonts w:ascii="Arial" w:hAnsi="Arial" w:cs="Arial"/>
              </w:rPr>
            </w:pPr>
            <w:r w:rsidRPr="008D00FA">
              <w:rPr>
                <w:rFonts w:ascii="Arial" w:hAnsi="Arial" w:cs="Arial"/>
              </w:rPr>
              <w:t>6.4%</w:t>
            </w:r>
          </w:p>
        </w:tc>
        <w:tc>
          <w:tcPr>
            <w:tcW w:w="1080" w:type="dxa"/>
            <w:tcBorders>
              <w:top w:val="nil"/>
              <w:left w:val="nil"/>
              <w:bottom w:val="nil"/>
              <w:right w:val="nil"/>
            </w:tcBorders>
          </w:tcPr>
          <w:p w:rsidR="0069759A" w:rsidRPr="008D00FA" w:rsidRDefault="003F6212" w:rsidP="0069759A">
            <w:pPr>
              <w:keepNext/>
              <w:keepLines/>
              <w:spacing w:before="80" w:after="80"/>
              <w:ind w:left="-85"/>
              <w:jc w:val="center"/>
              <w:rPr>
                <w:rFonts w:ascii="Arial" w:hAnsi="Arial" w:cs="Arial"/>
              </w:rPr>
            </w:pPr>
            <w:r>
              <w:rPr>
                <w:rFonts w:ascii="Arial" w:hAnsi="Arial" w:cs="Arial"/>
              </w:rPr>
              <w:t>5.6</w:t>
            </w:r>
            <w:r w:rsidR="0069759A" w:rsidRPr="008D00FA">
              <w:rPr>
                <w:rFonts w:ascii="Arial" w:hAnsi="Arial" w:cs="Arial"/>
              </w:rPr>
              <w:t>%</w:t>
            </w:r>
          </w:p>
        </w:tc>
        <w:tc>
          <w:tcPr>
            <w:tcW w:w="1080" w:type="dxa"/>
            <w:tcBorders>
              <w:top w:val="nil"/>
              <w:left w:val="nil"/>
              <w:bottom w:val="nil"/>
              <w:right w:val="nil"/>
            </w:tcBorders>
          </w:tcPr>
          <w:p w:rsidR="0069759A" w:rsidRPr="008D00FA" w:rsidRDefault="0069759A" w:rsidP="003F6212">
            <w:pPr>
              <w:keepNext/>
              <w:keepLines/>
              <w:spacing w:before="80" w:after="80"/>
              <w:ind w:left="-85"/>
              <w:jc w:val="center"/>
              <w:rPr>
                <w:rFonts w:ascii="Arial" w:hAnsi="Arial" w:cs="Arial"/>
              </w:rPr>
            </w:pPr>
            <w:r w:rsidRPr="008D00FA">
              <w:rPr>
                <w:rFonts w:ascii="Arial" w:hAnsi="Arial" w:cs="Arial"/>
              </w:rPr>
              <w:t>5.</w:t>
            </w:r>
            <w:r w:rsidR="003F6212">
              <w:rPr>
                <w:rFonts w:ascii="Arial" w:hAnsi="Arial" w:cs="Arial"/>
              </w:rPr>
              <w:t>7</w:t>
            </w:r>
            <w:r w:rsidRPr="008D00FA">
              <w:rPr>
                <w:rFonts w:ascii="Arial" w:hAnsi="Arial" w:cs="Arial"/>
              </w:rPr>
              <w:t xml:space="preserve">% </w:t>
            </w:r>
          </w:p>
        </w:tc>
        <w:tc>
          <w:tcPr>
            <w:tcW w:w="1080" w:type="dxa"/>
            <w:tcBorders>
              <w:top w:val="nil"/>
              <w:left w:val="nil"/>
              <w:bottom w:val="nil"/>
              <w:right w:val="single" w:sz="6" w:space="0" w:color="auto"/>
            </w:tcBorders>
          </w:tcPr>
          <w:p w:rsidR="0069759A" w:rsidRPr="008D00FA" w:rsidRDefault="003F6212" w:rsidP="0069759A">
            <w:pPr>
              <w:keepNext/>
              <w:keepLines/>
              <w:spacing w:before="80" w:after="80"/>
              <w:ind w:left="-85"/>
              <w:jc w:val="center"/>
              <w:rPr>
                <w:rFonts w:ascii="Arial" w:hAnsi="Arial" w:cs="Arial"/>
              </w:rPr>
            </w:pPr>
            <w:r>
              <w:rPr>
                <w:rFonts w:ascii="Arial" w:hAnsi="Arial" w:cs="Arial"/>
              </w:rPr>
              <w:t>5.9</w:t>
            </w:r>
            <w:r w:rsidR="0069759A" w:rsidRPr="008D00FA">
              <w:rPr>
                <w:rFonts w:ascii="Arial" w:hAnsi="Arial" w:cs="Arial"/>
              </w:rPr>
              <w:t>%</w:t>
            </w:r>
          </w:p>
        </w:tc>
      </w:tr>
      <w:tr w:rsidR="0069759A" w:rsidRPr="00D7614D" w:rsidTr="0069759A">
        <w:tc>
          <w:tcPr>
            <w:tcW w:w="4395" w:type="dxa"/>
            <w:tcBorders>
              <w:top w:val="nil"/>
              <w:left w:val="single" w:sz="6" w:space="0" w:color="auto"/>
              <w:bottom w:val="single" w:sz="6" w:space="0" w:color="auto"/>
              <w:right w:val="nil"/>
            </w:tcBorders>
          </w:tcPr>
          <w:p w:rsidR="0069759A" w:rsidRPr="00D7614D" w:rsidRDefault="0069759A" w:rsidP="0069759A">
            <w:pPr>
              <w:keepNext/>
              <w:keepLines/>
              <w:spacing w:before="80" w:after="80"/>
              <w:ind w:left="-85"/>
              <w:rPr>
                <w:rFonts w:ascii="Arial" w:hAnsi="Arial" w:cs="Arial"/>
              </w:rPr>
            </w:pPr>
            <w:r w:rsidRPr="00D7614D">
              <w:rPr>
                <w:rFonts w:ascii="Arial" w:hAnsi="Arial" w:cs="Arial"/>
              </w:rPr>
              <w:t>Current ratio</w:t>
            </w:r>
          </w:p>
        </w:tc>
        <w:tc>
          <w:tcPr>
            <w:tcW w:w="1185" w:type="dxa"/>
            <w:tcBorders>
              <w:top w:val="nil"/>
              <w:left w:val="nil"/>
              <w:bottom w:val="single" w:sz="6" w:space="0" w:color="auto"/>
              <w:right w:val="nil"/>
            </w:tcBorders>
          </w:tcPr>
          <w:p w:rsidR="0069759A" w:rsidRPr="008D00FA" w:rsidRDefault="0069759A" w:rsidP="0069759A">
            <w:pPr>
              <w:keepNext/>
              <w:keepLines/>
              <w:spacing w:before="80" w:after="80"/>
              <w:ind w:left="-85"/>
              <w:jc w:val="center"/>
              <w:rPr>
                <w:rFonts w:ascii="Arial" w:hAnsi="Arial" w:cs="Arial"/>
              </w:rPr>
            </w:pPr>
            <w:r w:rsidRPr="008D00FA">
              <w:rPr>
                <w:rFonts w:ascii="Arial" w:hAnsi="Arial" w:cs="Arial"/>
              </w:rPr>
              <w:t>98.5%</w:t>
            </w:r>
          </w:p>
        </w:tc>
        <w:tc>
          <w:tcPr>
            <w:tcW w:w="1080" w:type="dxa"/>
            <w:tcBorders>
              <w:top w:val="nil"/>
              <w:left w:val="nil"/>
              <w:bottom w:val="single" w:sz="6" w:space="0" w:color="auto"/>
              <w:right w:val="nil"/>
            </w:tcBorders>
          </w:tcPr>
          <w:p w:rsidR="0069759A" w:rsidRPr="008D00FA" w:rsidRDefault="0069759A" w:rsidP="0069759A">
            <w:pPr>
              <w:keepNext/>
              <w:keepLines/>
              <w:spacing w:before="80" w:after="80"/>
              <w:ind w:left="-85"/>
              <w:jc w:val="center"/>
              <w:rPr>
                <w:rFonts w:ascii="Arial" w:hAnsi="Arial" w:cs="Arial"/>
              </w:rPr>
            </w:pPr>
            <w:r w:rsidRPr="008D00FA">
              <w:rPr>
                <w:rFonts w:ascii="Arial" w:hAnsi="Arial" w:cs="Arial"/>
              </w:rPr>
              <w:t>88.8%</w:t>
            </w:r>
          </w:p>
        </w:tc>
        <w:tc>
          <w:tcPr>
            <w:tcW w:w="1080" w:type="dxa"/>
            <w:tcBorders>
              <w:top w:val="nil"/>
              <w:left w:val="nil"/>
              <w:bottom w:val="single" w:sz="6" w:space="0" w:color="auto"/>
              <w:right w:val="nil"/>
            </w:tcBorders>
          </w:tcPr>
          <w:p w:rsidR="0069759A" w:rsidRPr="008D00FA" w:rsidRDefault="003F6212" w:rsidP="003F6212">
            <w:pPr>
              <w:keepNext/>
              <w:keepLines/>
              <w:spacing w:before="80" w:after="80"/>
              <w:ind w:left="-85"/>
              <w:jc w:val="center"/>
              <w:rPr>
                <w:rFonts w:ascii="Arial" w:hAnsi="Arial" w:cs="Arial"/>
              </w:rPr>
            </w:pPr>
            <w:r>
              <w:rPr>
                <w:rFonts w:ascii="Arial" w:hAnsi="Arial" w:cs="Arial"/>
              </w:rPr>
              <w:t>93.4</w:t>
            </w:r>
            <w:r w:rsidR="0069759A" w:rsidRPr="008D00FA">
              <w:rPr>
                <w:rFonts w:ascii="Arial" w:hAnsi="Arial" w:cs="Arial"/>
              </w:rPr>
              <w:t>%</w:t>
            </w:r>
          </w:p>
        </w:tc>
        <w:tc>
          <w:tcPr>
            <w:tcW w:w="1080" w:type="dxa"/>
            <w:tcBorders>
              <w:top w:val="nil"/>
              <w:left w:val="nil"/>
              <w:bottom w:val="single" w:sz="6" w:space="0" w:color="auto"/>
              <w:right w:val="nil"/>
            </w:tcBorders>
          </w:tcPr>
          <w:p w:rsidR="0069759A" w:rsidRPr="008D00FA" w:rsidRDefault="003F6212" w:rsidP="003F6212">
            <w:pPr>
              <w:keepNext/>
              <w:keepLines/>
              <w:spacing w:before="80" w:after="80"/>
              <w:ind w:left="-85"/>
              <w:jc w:val="center"/>
              <w:rPr>
                <w:rFonts w:ascii="Arial" w:hAnsi="Arial" w:cs="Arial"/>
              </w:rPr>
            </w:pPr>
            <w:bookmarkStart w:id="62" w:name="OLE_LINK2"/>
            <w:r>
              <w:rPr>
                <w:rFonts w:ascii="Arial" w:hAnsi="Arial" w:cs="Arial"/>
              </w:rPr>
              <w:t>83.9</w:t>
            </w:r>
            <w:r w:rsidR="0069759A" w:rsidRPr="008D00FA">
              <w:rPr>
                <w:rFonts w:ascii="Arial" w:hAnsi="Arial" w:cs="Arial"/>
              </w:rPr>
              <w:t>%</w:t>
            </w:r>
            <w:bookmarkEnd w:id="62"/>
          </w:p>
        </w:tc>
        <w:tc>
          <w:tcPr>
            <w:tcW w:w="1080" w:type="dxa"/>
            <w:tcBorders>
              <w:top w:val="nil"/>
              <w:left w:val="nil"/>
              <w:bottom w:val="single" w:sz="6" w:space="0" w:color="auto"/>
              <w:right w:val="single" w:sz="6" w:space="0" w:color="auto"/>
            </w:tcBorders>
          </w:tcPr>
          <w:p w:rsidR="0069759A" w:rsidRPr="008D00FA" w:rsidRDefault="003F6212" w:rsidP="003F6212">
            <w:pPr>
              <w:keepNext/>
              <w:keepLines/>
              <w:spacing w:before="80" w:after="80"/>
              <w:ind w:left="-85"/>
              <w:jc w:val="center"/>
              <w:rPr>
                <w:rFonts w:ascii="Arial" w:hAnsi="Arial" w:cs="Arial"/>
              </w:rPr>
            </w:pPr>
            <w:r>
              <w:rPr>
                <w:rFonts w:ascii="Arial" w:hAnsi="Arial" w:cs="Arial"/>
              </w:rPr>
              <w:t>73.0</w:t>
            </w:r>
            <w:r w:rsidR="0069759A" w:rsidRPr="008D00FA">
              <w:rPr>
                <w:rFonts w:ascii="Arial" w:hAnsi="Arial" w:cs="Arial"/>
              </w:rPr>
              <w:t xml:space="preserve">% </w:t>
            </w:r>
          </w:p>
        </w:tc>
      </w:tr>
      <w:tr w:rsidR="0069759A" w:rsidRPr="00D7614D" w:rsidTr="0069759A">
        <w:tc>
          <w:tcPr>
            <w:tcW w:w="4395" w:type="dxa"/>
            <w:tcBorders>
              <w:top w:val="single" w:sz="6" w:space="0" w:color="auto"/>
              <w:left w:val="single" w:sz="6" w:space="0" w:color="auto"/>
              <w:bottom w:val="nil"/>
              <w:right w:val="nil"/>
            </w:tcBorders>
          </w:tcPr>
          <w:p w:rsidR="0069759A" w:rsidRPr="00D7614D" w:rsidRDefault="0069759A" w:rsidP="0069759A">
            <w:pPr>
              <w:keepNext/>
              <w:keepLines/>
              <w:spacing w:before="80" w:after="80"/>
              <w:ind w:left="-85"/>
              <w:rPr>
                <w:rFonts w:ascii="Arial" w:hAnsi="Arial" w:cs="Arial"/>
              </w:rPr>
            </w:pPr>
            <w:r w:rsidRPr="00D7614D">
              <w:rPr>
                <w:rFonts w:ascii="Arial" w:hAnsi="Arial" w:cs="Arial"/>
                <w:b/>
              </w:rPr>
              <w:t>Human Resource</w:t>
            </w:r>
          </w:p>
        </w:tc>
        <w:tc>
          <w:tcPr>
            <w:tcW w:w="1185" w:type="dxa"/>
            <w:tcBorders>
              <w:top w:val="single" w:sz="6" w:space="0" w:color="auto"/>
              <w:left w:val="nil"/>
              <w:bottom w:val="nil"/>
              <w:right w:val="nil"/>
            </w:tcBorders>
          </w:tcPr>
          <w:p w:rsidR="0069759A" w:rsidRPr="008D00FA" w:rsidRDefault="0069759A" w:rsidP="0069759A">
            <w:pPr>
              <w:keepNext/>
              <w:keepLines/>
              <w:spacing w:before="80" w:after="80"/>
              <w:ind w:left="-85"/>
              <w:jc w:val="center"/>
              <w:rPr>
                <w:rFonts w:ascii="Arial" w:hAnsi="Arial" w:cs="Arial"/>
              </w:rPr>
            </w:pPr>
          </w:p>
        </w:tc>
        <w:tc>
          <w:tcPr>
            <w:tcW w:w="1080" w:type="dxa"/>
            <w:tcBorders>
              <w:top w:val="single" w:sz="6" w:space="0" w:color="auto"/>
              <w:left w:val="nil"/>
              <w:bottom w:val="nil"/>
              <w:right w:val="nil"/>
            </w:tcBorders>
          </w:tcPr>
          <w:p w:rsidR="0069759A" w:rsidRPr="008D00FA" w:rsidRDefault="0069759A" w:rsidP="0069759A">
            <w:pPr>
              <w:keepNext/>
              <w:keepLines/>
              <w:spacing w:before="80" w:after="80"/>
              <w:ind w:left="-85"/>
              <w:jc w:val="center"/>
              <w:rPr>
                <w:rFonts w:ascii="Arial" w:hAnsi="Arial" w:cs="Arial"/>
              </w:rPr>
            </w:pPr>
          </w:p>
        </w:tc>
        <w:tc>
          <w:tcPr>
            <w:tcW w:w="1080" w:type="dxa"/>
            <w:tcBorders>
              <w:top w:val="single" w:sz="6" w:space="0" w:color="auto"/>
              <w:left w:val="nil"/>
              <w:bottom w:val="nil"/>
              <w:right w:val="nil"/>
            </w:tcBorders>
          </w:tcPr>
          <w:p w:rsidR="0069759A" w:rsidRPr="008D00FA" w:rsidRDefault="0069759A" w:rsidP="0069759A">
            <w:pPr>
              <w:keepNext/>
              <w:keepLines/>
              <w:spacing w:before="80" w:after="80"/>
              <w:ind w:left="-85"/>
              <w:jc w:val="center"/>
              <w:rPr>
                <w:rFonts w:ascii="Arial" w:hAnsi="Arial" w:cs="Arial"/>
              </w:rPr>
            </w:pPr>
          </w:p>
        </w:tc>
        <w:tc>
          <w:tcPr>
            <w:tcW w:w="1080" w:type="dxa"/>
            <w:tcBorders>
              <w:top w:val="single" w:sz="6" w:space="0" w:color="auto"/>
              <w:left w:val="nil"/>
              <w:bottom w:val="nil"/>
              <w:right w:val="nil"/>
            </w:tcBorders>
          </w:tcPr>
          <w:p w:rsidR="0069759A" w:rsidRPr="008D00FA" w:rsidRDefault="0069759A" w:rsidP="0069759A">
            <w:pPr>
              <w:keepNext/>
              <w:keepLines/>
              <w:spacing w:before="80" w:after="80"/>
              <w:ind w:left="-85"/>
              <w:jc w:val="center"/>
              <w:rPr>
                <w:rFonts w:ascii="Arial" w:hAnsi="Arial" w:cs="Arial"/>
              </w:rPr>
            </w:pPr>
          </w:p>
        </w:tc>
        <w:tc>
          <w:tcPr>
            <w:tcW w:w="1080" w:type="dxa"/>
            <w:tcBorders>
              <w:top w:val="single" w:sz="6" w:space="0" w:color="auto"/>
              <w:left w:val="nil"/>
              <w:bottom w:val="nil"/>
              <w:right w:val="single" w:sz="6" w:space="0" w:color="auto"/>
            </w:tcBorders>
          </w:tcPr>
          <w:p w:rsidR="0069759A" w:rsidRPr="008D00FA" w:rsidRDefault="0069759A" w:rsidP="0069759A">
            <w:pPr>
              <w:keepNext/>
              <w:keepLines/>
              <w:spacing w:before="80" w:after="80"/>
              <w:ind w:left="-85"/>
              <w:jc w:val="center"/>
              <w:rPr>
                <w:rFonts w:ascii="Arial" w:hAnsi="Arial" w:cs="Arial"/>
              </w:rPr>
            </w:pPr>
          </w:p>
        </w:tc>
      </w:tr>
      <w:tr w:rsidR="0069759A" w:rsidRPr="00D7614D" w:rsidTr="0069759A">
        <w:tc>
          <w:tcPr>
            <w:tcW w:w="4395" w:type="dxa"/>
            <w:tcBorders>
              <w:top w:val="nil"/>
              <w:left w:val="single" w:sz="6" w:space="0" w:color="auto"/>
              <w:bottom w:val="nil"/>
              <w:right w:val="nil"/>
            </w:tcBorders>
          </w:tcPr>
          <w:p w:rsidR="0069759A" w:rsidRPr="00D7614D" w:rsidRDefault="0069759A" w:rsidP="0069759A">
            <w:pPr>
              <w:keepNext/>
              <w:keepLines/>
              <w:spacing w:before="80" w:after="80"/>
              <w:ind w:left="-85"/>
              <w:rPr>
                <w:rFonts w:ascii="Arial" w:hAnsi="Arial" w:cs="Arial"/>
              </w:rPr>
            </w:pPr>
            <w:r>
              <w:rPr>
                <w:rFonts w:ascii="Arial" w:hAnsi="Arial" w:cs="Arial"/>
              </w:rPr>
              <w:t>Absence Rate</w:t>
            </w:r>
          </w:p>
        </w:tc>
        <w:tc>
          <w:tcPr>
            <w:tcW w:w="1185" w:type="dxa"/>
            <w:tcBorders>
              <w:top w:val="nil"/>
              <w:left w:val="nil"/>
              <w:bottom w:val="nil"/>
              <w:right w:val="nil"/>
            </w:tcBorders>
          </w:tcPr>
          <w:p w:rsidR="0069759A" w:rsidRPr="008D00FA" w:rsidRDefault="0069759A" w:rsidP="0069759A">
            <w:pPr>
              <w:keepNext/>
              <w:keepLines/>
              <w:spacing w:before="80" w:after="80"/>
              <w:ind w:left="-85"/>
              <w:jc w:val="center"/>
              <w:rPr>
                <w:rFonts w:ascii="Arial" w:hAnsi="Arial" w:cs="Arial"/>
              </w:rPr>
            </w:pPr>
            <w:r w:rsidRPr="008D00FA">
              <w:rPr>
                <w:rFonts w:ascii="Arial" w:hAnsi="Arial" w:cs="Arial"/>
              </w:rPr>
              <w:t>5.</w:t>
            </w:r>
            <w:r w:rsidR="00B04FA1" w:rsidRPr="008D00FA">
              <w:rPr>
                <w:rFonts w:ascii="Arial" w:hAnsi="Arial" w:cs="Arial"/>
              </w:rPr>
              <w:t>8</w:t>
            </w:r>
          </w:p>
        </w:tc>
        <w:tc>
          <w:tcPr>
            <w:tcW w:w="1080" w:type="dxa"/>
            <w:tcBorders>
              <w:top w:val="nil"/>
              <w:left w:val="nil"/>
              <w:bottom w:val="nil"/>
              <w:right w:val="nil"/>
            </w:tcBorders>
          </w:tcPr>
          <w:p w:rsidR="0069759A" w:rsidRPr="008D00FA" w:rsidRDefault="0069759A" w:rsidP="0014013A">
            <w:pPr>
              <w:keepNext/>
              <w:keepLines/>
              <w:spacing w:before="80" w:after="80"/>
              <w:ind w:left="-85"/>
              <w:jc w:val="center"/>
              <w:rPr>
                <w:rFonts w:ascii="Arial" w:hAnsi="Arial" w:cs="Arial"/>
              </w:rPr>
            </w:pPr>
            <w:r w:rsidRPr="008D00FA">
              <w:rPr>
                <w:rFonts w:ascii="Arial" w:hAnsi="Arial" w:cs="Arial"/>
              </w:rPr>
              <w:t>4.</w:t>
            </w:r>
            <w:r w:rsidR="0014013A" w:rsidRPr="008D00FA">
              <w:rPr>
                <w:rFonts w:ascii="Arial" w:hAnsi="Arial" w:cs="Arial"/>
              </w:rPr>
              <w:t>6</w:t>
            </w:r>
          </w:p>
        </w:tc>
        <w:tc>
          <w:tcPr>
            <w:tcW w:w="1080" w:type="dxa"/>
            <w:tcBorders>
              <w:top w:val="nil"/>
              <w:left w:val="nil"/>
              <w:bottom w:val="nil"/>
              <w:right w:val="nil"/>
            </w:tcBorders>
          </w:tcPr>
          <w:p w:rsidR="0069759A" w:rsidRPr="008D00FA" w:rsidRDefault="0069759A" w:rsidP="00B04FA1">
            <w:pPr>
              <w:keepNext/>
              <w:keepLines/>
              <w:spacing w:before="80" w:after="80"/>
              <w:ind w:left="-85"/>
              <w:jc w:val="center"/>
              <w:rPr>
                <w:rFonts w:ascii="Arial" w:hAnsi="Arial" w:cs="Arial"/>
              </w:rPr>
            </w:pPr>
            <w:r w:rsidRPr="008D00FA">
              <w:rPr>
                <w:rFonts w:ascii="Arial" w:hAnsi="Arial" w:cs="Arial"/>
              </w:rPr>
              <w:t>4.</w:t>
            </w:r>
            <w:r w:rsidR="00B04FA1" w:rsidRPr="008D00FA">
              <w:rPr>
                <w:rFonts w:ascii="Arial" w:hAnsi="Arial" w:cs="Arial"/>
              </w:rPr>
              <w:t>7</w:t>
            </w:r>
          </w:p>
        </w:tc>
        <w:tc>
          <w:tcPr>
            <w:tcW w:w="1080" w:type="dxa"/>
            <w:tcBorders>
              <w:top w:val="nil"/>
              <w:left w:val="nil"/>
              <w:bottom w:val="nil"/>
              <w:right w:val="nil"/>
            </w:tcBorders>
          </w:tcPr>
          <w:p w:rsidR="0069759A" w:rsidRPr="008D00FA" w:rsidRDefault="0069759A" w:rsidP="0069759A">
            <w:pPr>
              <w:keepNext/>
              <w:keepLines/>
              <w:spacing w:before="80" w:after="80"/>
              <w:ind w:left="-85"/>
              <w:jc w:val="center"/>
              <w:rPr>
                <w:rFonts w:ascii="Arial" w:hAnsi="Arial" w:cs="Arial"/>
              </w:rPr>
            </w:pPr>
            <w:r w:rsidRPr="008D00FA">
              <w:rPr>
                <w:rFonts w:ascii="Arial" w:hAnsi="Arial" w:cs="Arial"/>
              </w:rPr>
              <w:t>4.6</w:t>
            </w:r>
          </w:p>
        </w:tc>
        <w:tc>
          <w:tcPr>
            <w:tcW w:w="1080" w:type="dxa"/>
            <w:tcBorders>
              <w:top w:val="nil"/>
              <w:left w:val="nil"/>
              <w:bottom w:val="nil"/>
              <w:right w:val="single" w:sz="6" w:space="0" w:color="auto"/>
            </w:tcBorders>
          </w:tcPr>
          <w:p w:rsidR="0069759A" w:rsidRPr="008D00FA" w:rsidRDefault="0069759A" w:rsidP="0069759A">
            <w:pPr>
              <w:keepNext/>
              <w:keepLines/>
              <w:spacing w:before="80" w:after="80"/>
              <w:ind w:left="-85"/>
              <w:jc w:val="center"/>
              <w:rPr>
                <w:rFonts w:ascii="Arial" w:hAnsi="Arial" w:cs="Arial"/>
              </w:rPr>
            </w:pPr>
            <w:r w:rsidRPr="008D00FA">
              <w:rPr>
                <w:rFonts w:ascii="Arial" w:hAnsi="Arial" w:cs="Arial"/>
              </w:rPr>
              <w:t>4.5</w:t>
            </w:r>
          </w:p>
        </w:tc>
      </w:tr>
      <w:tr w:rsidR="0069759A" w:rsidRPr="00D7614D" w:rsidTr="0069759A">
        <w:tc>
          <w:tcPr>
            <w:tcW w:w="4395" w:type="dxa"/>
            <w:tcBorders>
              <w:top w:val="nil"/>
              <w:left w:val="single" w:sz="6" w:space="0" w:color="auto"/>
              <w:bottom w:val="single" w:sz="6" w:space="0" w:color="auto"/>
              <w:right w:val="nil"/>
            </w:tcBorders>
          </w:tcPr>
          <w:p w:rsidR="0069759A" w:rsidRPr="00D7614D" w:rsidRDefault="0069759A" w:rsidP="0069759A">
            <w:pPr>
              <w:keepNext/>
              <w:keepLines/>
              <w:spacing w:before="80" w:after="180"/>
              <w:ind w:left="-85"/>
              <w:rPr>
                <w:rFonts w:ascii="Arial" w:hAnsi="Arial" w:cs="Arial"/>
              </w:rPr>
            </w:pPr>
            <w:r w:rsidRPr="00D7614D">
              <w:rPr>
                <w:rFonts w:ascii="Arial" w:hAnsi="Arial" w:cs="Arial"/>
              </w:rPr>
              <w:t>Workers compensation claims</w:t>
            </w:r>
          </w:p>
        </w:tc>
        <w:tc>
          <w:tcPr>
            <w:tcW w:w="1185" w:type="dxa"/>
            <w:tcBorders>
              <w:top w:val="nil"/>
              <w:left w:val="nil"/>
              <w:bottom w:val="single" w:sz="6" w:space="0" w:color="auto"/>
              <w:right w:val="nil"/>
            </w:tcBorders>
          </w:tcPr>
          <w:p w:rsidR="0069759A" w:rsidRPr="008D00FA" w:rsidRDefault="00B04FA1" w:rsidP="0069759A">
            <w:pPr>
              <w:keepNext/>
              <w:keepLines/>
              <w:spacing w:before="80" w:after="180"/>
              <w:ind w:left="-85"/>
              <w:jc w:val="center"/>
              <w:rPr>
                <w:rFonts w:ascii="Arial" w:hAnsi="Arial" w:cs="Arial"/>
              </w:rPr>
            </w:pPr>
            <w:r w:rsidRPr="008D00FA">
              <w:rPr>
                <w:rFonts w:ascii="Arial" w:hAnsi="Arial" w:cs="Arial"/>
              </w:rPr>
              <w:t>58</w:t>
            </w:r>
          </w:p>
        </w:tc>
        <w:tc>
          <w:tcPr>
            <w:tcW w:w="1080" w:type="dxa"/>
            <w:tcBorders>
              <w:top w:val="nil"/>
              <w:left w:val="nil"/>
              <w:bottom w:val="single" w:sz="6" w:space="0" w:color="auto"/>
              <w:right w:val="nil"/>
            </w:tcBorders>
          </w:tcPr>
          <w:p w:rsidR="0069759A" w:rsidRPr="008D00FA" w:rsidRDefault="0069759A" w:rsidP="0069759A">
            <w:pPr>
              <w:keepNext/>
              <w:keepLines/>
              <w:spacing w:before="80" w:after="180"/>
              <w:ind w:left="-85"/>
              <w:jc w:val="center"/>
              <w:rPr>
                <w:rFonts w:ascii="Arial" w:hAnsi="Arial" w:cs="Arial"/>
              </w:rPr>
            </w:pPr>
            <w:r w:rsidRPr="008D00FA">
              <w:rPr>
                <w:rFonts w:ascii="Arial" w:hAnsi="Arial" w:cs="Arial"/>
              </w:rPr>
              <w:t>&lt;50</w:t>
            </w:r>
          </w:p>
        </w:tc>
        <w:tc>
          <w:tcPr>
            <w:tcW w:w="1080" w:type="dxa"/>
            <w:tcBorders>
              <w:top w:val="nil"/>
              <w:left w:val="nil"/>
              <w:bottom w:val="single" w:sz="6" w:space="0" w:color="auto"/>
              <w:right w:val="nil"/>
            </w:tcBorders>
          </w:tcPr>
          <w:p w:rsidR="0069759A" w:rsidRPr="008D00FA" w:rsidRDefault="0069759A" w:rsidP="0069759A">
            <w:pPr>
              <w:keepNext/>
              <w:keepLines/>
              <w:spacing w:before="80" w:after="180"/>
              <w:ind w:left="-85"/>
              <w:jc w:val="center"/>
              <w:rPr>
                <w:rFonts w:ascii="Arial" w:hAnsi="Arial" w:cs="Arial"/>
              </w:rPr>
            </w:pPr>
            <w:r w:rsidRPr="008D00FA">
              <w:rPr>
                <w:rFonts w:ascii="Arial" w:hAnsi="Arial" w:cs="Arial"/>
              </w:rPr>
              <w:t>&lt;50</w:t>
            </w:r>
          </w:p>
        </w:tc>
        <w:tc>
          <w:tcPr>
            <w:tcW w:w="1080" w:type="dxa"/>
            <w:tcBorders>
              <w:top w:val="nil"/>
              <w:left w:val="nil"/>
              <w:bottom w:val="single" w:sz="6" w:space="0" w:color="auto"/>
              <w:right w:val="nil"/>
            </w:tcBorders>
          </w:tcPr>
          <w:p w:rsidR="0069759A" w:rsidRPr="008D00FA" w:rsidRDefault="0069759A" w:rsidP="0069759A">
            <w:pPr>
              <w:keepNext/>
              <w:keepLines/>
              <w:spacing w:before="80" w:after="180"/>
              <w:ind w:left="-85"/>
              <w:jc w:val="center"/>
              <w:rPr>
                <w:rFonts w:ascii="Arial" w:hAnsi="Arial" w:cs="Arial"/>
              </w:rPr>
            </w:pPr>
            <w:r w:rsidRPr="008D00FA">
              <w:rPr>
                <w:rFonts w:ascii="Arial" w:hAnsi="Arial" w:cs="Arial"/>
              </w:rPr>
              <w:t>&lt;50</w:t>
            </w:r>
          </w:p>
        </w:tc>
        <w:tc>
          <w:tcPr>
            <w:tcW w:w="1080" w:type="dxa"/>
            <w:tcBorders>
              <w:top w:val="nil"/>
              <w:left w:val="nil"/>
              <w:bottom w:val="single" w:sz="6" w:space="0" w:color="auto"/>
              <w:right w:val="single" w:sz="6" w:space="0" w:color="auto"/>
            </w:tcBorders>
          </w:tcPr>
          <w:p w:rsidR="0069759A" w:rsidRPr="008D00FA" w:rsidRDefault="0069759A" w:rsidP="0069759A">
            <w:pPr>
              <w:keepNext/>
              <w:keepLines/>
              <w:spacing w:before="80" w:after="180"/>
              <w:ind w:left="-85"/>
              <w:jc w:val="center"/>
              <w:rPr>
                <w:rFonts w:ascii="Arial" w:hAnsi="Arial" w:cs="Arial"/>
              </w:rPr>
            </w:pPr>
            <w:r w:rsidRPr="008D00FA">
              <w:rPr>
                <w:rFonts w:ascii="Arial" w:hAnsi="Arial" w:cs="Arial"/>
              </w:rPr>
              <w:t>&lt;50</w:t>
            </w:r>
          </w:p>
        </w:tc>
      </w:tr>
      <w:bookmarkEnd w:id="60"/>
    </w:tbl>
    <w:p w:rsidR="0069759A" w:rsidRPr="00D7614D" w:rsidRDefault="0069759A" w:rsidP="0069759A">
      <w:pPr>
        <w:spacing w:after="120"/>
      </w:pPr>
    </w:p>
    <w:p w:rsidR="0069759A" w:rsidRPr="005136CD" w:rsidRDefault="0069759A" w:rsidP="0069759A">
      <w:pPr>
        <w:spacing w:after="120"/>
        <w:rPr>
          <w:rFonts w:ascii="Arial" w:hAnsi="Arial" w:cs="Arial"/>
          <w:b/>
        </w:rPr>
      </w:pPr>
      <w:r w:rsidRPr="005136CD">
        <w:rPr>
          <w:rFonts w:ascii="Arial" w:hAnsi="Arial" w:cs="Arial"/>
          <w:b/>
        </w:rPr>
        <w:t xml:space="preserve">* Note: </w:t>
      </w:r>
    </w:p>
    <w:p w:rsidR="0069759A" w:rsidRPr="005136CD" w:rsidRDefault="0069759A" w:rsidP="0069759A">
      <w:pPr>
        <w:pStyle w:val="ListParagraph"/>
        <w:numPr>
          <w:ilvl w:val="0"/>
          <w:numId w:val="14"/>
        </w:numPr>
        <w:tabs>
          <w:tab w:val="clear" w:pos="967"/>
          <w:tab w:val="num" w:pos="567"/>
        </w:tabs>
        <w:spacing w:after="120"/>
        <w:ind w:left="567" w:hanging="567"/>
        <w:jc w:val="both"/>
        <w:rPr>
          <w:b/>
        </w:rPr>
      </w:pPr>
      <w:r w:rsidRPr="005136CD">
        <w:rPr>
          <w:rFonts w:ascii="Arial" w:hAnsi="Arial" w:cs="Arial"/>
        </w:rPr>
        <w:t>This indicator only includes false alarms generated by fire detection and alarm systems in buildings. It replaces the broader ‘false alarms’ indicator, which also included good-intent but false calls from members of the public reporting controlled burning, smoke scares and the like. While efforts are made to reduce system-initiated false calls, good-intent calls are not discouraged.</w:t>
      </w:r>
    </w:p>
    <w:p w:rsidR="00082281" w:rsidRPr="00C803C7" w:rsidRDefault="00082281" w:rsidP="0099324F">
      <w:pPr>
        <w:spacing w:after="120"/>
      </w:pPr>
    </w:p>
    <w:sectPr w:rsidR="00082281" w:rsidRPr="00C803C7" w:rsidSect="009D19B1">
      <w:headerReference w:type="first" r:id="rId24"/>
      <w:pgSz w:w="11907" w:h="16840" w:code="9"/>
      <w:pgMar w:top="1134" w:right="567" w:bottom="1134" w:left="1134" w:header="720" w:footer="397" w:gutter="28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DE0" w:rsidRDefault="00CC7DE0">
      <w:r>
        <w:separator/>
      </w:r>
    </w:p>
  </w:endnote>
  <w:endnote w:type="continuationSeparator" w:id="0">
    <w:p w:rsidR="00CC7DE0" w:rsidRDefault="00CC7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Default="008B7475" w:rsidP="009B62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B7475" w:rsidRDefault="008B7475" w:rsidP="005B559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Pr="00C803C7" w:rsidRDefault="008B7475" w:rsidP="009B6232">
    <w:pPr>
      <w:pStyle w:val="Footer"/>
      <w:pBdr>
        <w:top w:val="single" w:sz="4" w:space="6" w:color="auto"/>
      </w:pBdr>
      <w:tabs>
        <w:tab w:val="clear" w:pos="4153"/>
        <w:tab w:val="clear" w:pos="8306"/>
        <w:tab w:val="right" w:pos="9355"/>
      </w:tabs>
      <w:spacing w:before="120"/>
      <w:ind w:right="-5"/>
      <w:jc w:val="center"/>
      <w:rPr>
        <w:rFonts w:ascii="Arial" w:hAnsi="Arial" w:cs="Arial"/>
        <w:sz w:val="15"/>
        <w:szCs w:val="15"/>
      </w:rPr>
    </w:pPr>
    <w:r>
      <w:rPr>
        <w:rFonts w:ascii="Arial" w:hAnsi="Arial" w:cs="Arial"/>
        <w:sz w:val="15"/>
        <w:szCs w:val="15"/>
      </w:rPr>
      <w:t xml:space="preserve">Draft </w:t>
    </w:r>
    <w:r w:rsidRPr="00C803C7">
      <w:rPr>
        <w:rFonts w:ascii="Arial" w:hAnsi="Arial" w:cs="Arial"/>
        <w:sz w:val="15"/>
        <w:szCs w:val="15"/>
      </w:rPr>
      <w:t xml:space="preserve">Corporate Plan Financial Years </w:t>
    </w:r>
    <w:r>
      <w:rPr>
        <w:rFonts w:ascii="Arial" w:hAnsi="Arial" w:cs="Arial"/>
        <w:sz w:val="15"/>
        <w:szCs w:val="15"/>
      </w:rPr>
      <w:t>2011-12</w:t>
    </w:r>
    <w:r w:rsidRPr="00C803C7">
      <w:rPr>
        <w:rFonts w:ascii="Arial" w:hAnsi="Arial" w:cs="Arial"/>
        <w:sz w:val="15"/>
        <w:szCs w:val="15"/>
      </w:rPr>
      <w:t xml:space="preserve"> to </w:t>
    </w:r>
    <w:r>
      <w:rPr>
        <w:rFonts w:ascii="Arial" w:hAnsi="Arial" w:cs="Arial"/>
        <w:sz w:val="15"/>
        <w:szCs w:val="15"/>
      </w:rPr>
      <w:t>2012-13</w:t>
    </w:r>
  </w:p>
  <w:p w:rsidR="008B7475" w:rsidRPr="00C803C7" w:rsidRDefault="008B7475" w:rsidP="00C803C7">
    <w:pPr>
      <w:pStyle w:val="Footer"/>
      <w:tabs>
        <w:tab w:val="clear" w:pos="4153"/>
        <w:tab w:val="clear" w:pos="8306"/>
        <w:tab w:val="right" w:pos="9360"/>
      </w:tabs>
      <w:jc w:val="center"/>
      <w:rPr>
        <w:rFonts w:ascii="Arial" w:hAnsi="Arial" w:cs="Arial"/>
      </w:rPr>
    </w:pPr>
    <w:r>
      <w:rPr>
        <w:rFonts w:ascii="Arial" w:hAnsi="Arial" w:cs="Arial"/>
        <w:sz w:val="15"/>
        <w:szCs w:val="15"/>
      </w:rPr>
      <w:t xml:space="preserve">Approved by the </w:t>
    </w:r>
    <w:r w:rsidRPr="00C803C7">
      <w:rPr>
        <w:rFonts w:ascii="Arial" w:hAnsi="Arial" w:cs="Arial"/>
        <w:sz w:val="15"/>
        <w:szCs w:val="15"/>
      </w:rPr>
      <w:t xml:space="preserve">State Fire Commission </w:t>
    </w:r>
    <w:r>
      <w:rPr>
        <w:rFonts w:ascii="Arial" w:hAnsi="Arial" w:cs="Arial"/>
        <w:sz w:val="15"/>
        <w:szCs w:val="15"/>
      </w:rPr>
      <w:t xml:space="preserve">on </w:t>
    </w:r>
    <w:smartTag w:uri="urn:schemas-microsoft-com:office:smarttags" w:element="date">
      <w:smartTagPr>
        <w:attr w:name="Year" w:val="2009"/>
        <w:attr w:name="Day" w:val="30"/>
        <w:attr w:name="Month" w:val="3"/>
      </w:smartTagPr>
      <w:r>
        <w:rPr>
          <w:rFonts w:ascii="Arial" w:hAnsi="Arial" w:cs="Arial"/>
          <w:sz w:val="15"/>
          <w:szCs w:val="15"/>
        </w:rPr>
        <w:t xml:space="preserve">30 March </w:t>
      </w:r>
      <w:r w:rsidRPr="00C803C7">
        <w:rPr>
          <w:rFonts w:ascii="Arial" w:hAnsi="Arial" w:cs="Arial"/>
          <w:sz w:val="15"/>
          <w:szCs w:val="15"/>
        </w:rPr>
        <w:t>200</w:t>
      </w:r>
      <w:r>
        <w:rPr>
          <w:rFonts w:ascii="Arial" w:hAnsi="Arial" w:cs="Arial"/>
          <w:sz w:val="15"/>
          <w:szCs w:val="15"/>
        </w:rPr>
        <w:t>9</w:t>
      </w:r>
    </w:smartTag>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Pr="00527830" w:rsidRDefault="008B7475" w:rsidP="0052783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Default="008B7475">
    <w:pPr>
      <w:pStyle w:val="Footer"/>
      <w:jc w:val="right"/>
    </w:pPr>
  </w:p>
  <w:p w:rsidR="008B7475" w:rsidRDefault="008B7475" w:rsidP="00D03499">
    <w:pPr>
      <w:pStyle w:val="Footer"/>
      <w:pBdr>
        <w:top w:val="single" w:sz="4" w:space="6" w:color="auto"/>
      </w:pBdr>
      <w:tabs>
        <w:tab w:val="clear" w:pos="4153"/>
        <w:tab w:val="clear" w:pos="8306"/>
        <w:tab w:val="right" w:pos="9355"/>
      </w:tabs>
      <w:spacing w:before="120"/>
      <w:ind w:right="-5"/>
      <w:jc w:val="center"/>
      <w:rPr>
        <w:rFonts w:ascii="Arial" w:hAnsi="Arial" w:cs="Arial"/>
        <w:sz w:val="15"/>
        <w:szCs w:val="15"/>
      </w:rPr>
    </w:pPr>
    <w:r>
      <w:rPr>
        <w:rFonts w:ascii="Arial" w:hAnsi="Arial" w:cs="Arial"/>
        <w:sz w:val="15"/>
        <w:szCs w:val="15"/>
      </w:rPr>
      <w:t xml:space="preserve">Draft SFC </w:t>
    </w:r>
    <w:r w:rsidRPr="00C803C7">
      <w:rPr>
        <w:rFonts w:ascii="Arial" w:hAnsi="Arial" w:cs="Arial"/>
        <w:sz w:val="15"/>
        <w:szCs w:val="15"/>
      </w:rPr>
      <w:t xml:space="preserve">Corporate Plan Financial Years </w:t>
    </w:r>
    <w:r>
      <w:rPr>
        <w:rFonts w:ascii="Arial" w:hAnsi="Arial" w:cs="Arial"/>
        <w:sz w:val="15"/>
        <w:szCs w:val="15"/>
      </w:rPr>
      <w:t>2011-12</w:t>
    </w:r>
    <w:r w:rsidRPr="00C803C7">
      <w:rPr>
        <w:rFonts w:ascii="Arial" w:hAnsi="Arial" w:cs="Arial"/>
        <w:sz w:val="15"/>
        <w:szCs w:val="15"/>
      </w:rPr>
      <w:t xml:space="preserve"> to </w:t>
    </w:r>
    <w:r>
      <w:rPr>
        <w:rFonts w:ascii="Arial" w:hAnsi="Arial" w:cs="Arial"/>
        <w:sz w:val="15"/>
        <w:szCs w:val="15"/>
      </w:rPr>
      <w:t>2013-14</w:t>
    </w:r>
  </w:p>
  <w:p w:rsidR="008B7475" w:rsidRDefault="008B7475" w:rsidP="00D03499">
    <w:pPr>
      <w:pStyle w:val="Footer"/>
      <w:tabs>
        <w:tab w:val="clear" w:pos="4153"/>
        <w:tab w:val="clear" w:pos="8306"/>
        <w:tab w:val="right" w:pos="9355"/>
      </w:tabs>
      <w:ind w:right="-6"/>
      <w:jc w:val="center"/>
      <w:rPr>
        <w:rFonts w:ascii="Arial" w:hAnsi="Arial" w:cs="Arial"/>
        <w:sz w:val="15"/>
        <w:szCs w:val="15"/>
      </w:rPr>
    </w:pPr>
    <w:r>
      <w:rPr>
        <w:rFonts w:ascii="Arial" w:hAnsi="Arial" w:cs="Arial"/>
        <w:sz w:val="15"/>
        <w:szCs w:val="15"/>
      </w:rPr>
      <w:t>Presented to State Fire Commission on 25 March 2011</w:t>
    </w:r>
  </w:p>
  <w:p w:rsidR="008B7475" w:rsidRDefault="008B7475" w:rsidP="0099324F">
    <w:pPr>
      <w:pStyle w:val="Footer"/>
      <w:tabs>
        <w:tab w:val="clear" w:pos="4153"/>
        <w:tab w:val="clear" w:pos="8306"/>
        <w:tab w:val="right" w:pos="9355"/>
      </w:tabs>
      <w:ind w:right="-6"/>
      <w:jc w:val="center"/>
      <w:rPr>
        <w:rFonts w:ascii="Arial" w:hAnsi="Arial" w:cs="Aria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Default="008B7475" w:rsidP="0098602A">
    <w:pPr>
      <w:pStyle w:val="Footer"/>
      <w:pBdr>
        <w:top w:val="single" w:sz="4" w:space="6" w:color="auto"/>
      </w:pBdr>
      <w:tabs>
        <w:tab w:val="clear" w:pos="4153"/>
        <w:tab w:val="clear" w:pos="8306"/>
        <w:tab w:val="left" w:pos="2977"/>
        <w:tab w:val="right" w:pos="9923"/>
      </w:tabs>
      <w:spacing w:before="120"/>
      <w:ind w:right="-5"/>
      <w:jc w:val="center"/>
      <w:rPr>
        <w:rFonts w:ascii="Arial" w:hAnsi="Arial" w:cs="Arial"/>
        <w:sz w:val="15"/>
        <w:szCs w:val="15"/>
      </w:rPr>
    </w:pPr>
    <w:r>
      <w:rPr>
        <w:rFonts w:ascii="Arial" w:hAnsi="Arial" w:cs="Arial"/>
        <w:sz w:val="15"/>
        <w:szCs w:val="15"/>
      </w:rPr>
      <w:tab/>
      <w:t xml:space="preserve">SFC </w:t>
    </w:r>
    <w:r w:rsidRPr="00C803C7">
      <w:rPr>
        <w:rFonts w:ascii="Arial" w:hAnsi="Arial" w:cs="Arial"/>
        <w:sz w:val="15"/>
        <w:szCs w:val="15"/>
      </w:rPr>
      <w:t xml:space="preserve">Corporate Plan Financial Years </w:t>
    </w:r>
    <w:r>
      <w:rPr>
        <w:rFonts w:ascii="Arial" w:hAnsi="Arial" w:cs="Arial"/>
        <w:sz w:val="15"/>
        <w:szCs w:val="15"/>
      </w:rPr>
      <w:t>2011-12</w:t>
    </w:r>
    <w:r w:rsidRPr="00C803C7">
      <w:rPr>
        <w:rFonts w:ascii="Arial" w:hAnsi="Arial" w:cs="Arial"/>
        <w:sz w:val="15"/>
        <w:szCs w:val="15"/>
      </w:rPr>
      <w:t xml:space="preserve"> to </w:t>
    </w:r>
    <w:r>
      <w:rPr>
        <w:rFonts w:ascii="Arial" w:hAnsi="Arial" w:cs="Arial"/>
        <w:sz w:val="15"/>
        <w:szCs w:val="15"/>
      </w:rPr>
      <w:t>2013-14</w:t>
    </w:r>
    <w:r>
      <w:rPr>
        <w:rFonts w:ascii="Arial" w:hAnsi="Arial" w:cs="Arial"/>
        <w:sz w:val="15"/>
        <w:szCs w:val="15"/>
      </w:rPr>
      <w:tab/>
    </w:r>
    <w:sdt>
      <w:sdtPr>
        <w:id w:val="-1632231513"/>
        <w:docPartObj>
          <w:docPartGallery w:val="Page Numbers (Bottom of Page)"/>
          <w:docPartUnique/>
        </w:docPartObj>
      </w:sdtPr>
      <w:sdtEndPr>
        <w:rPr>
          <w:rFonts w:ascii="Arial" w:hAnsi="Arial" w:cs="Arial"/>
          <w:sz w:val="15"/>
          <w:szCs w:val="15"/>
        </w:rPr>
      </w:sdtEndPr>
      <w:sdtContent>
        <w:r w:rsidRPr="00D03499">
          <w:rPr>
            <w:rFonts w:ascii="Arial" w:hAnsi="Arial" w:cs="Arial"/>
            <w:sz w:val="15"/>
            <w:szCs w:val="15"/>
          </w:rPr>
          <w:fldChar w:fldCharType="begin"/>
        </w:r>
        <w:r w:rsidRPr="00D03499">
          <w:rPr>
            <w:rFonts w:ascii="Arial" w:hAnsi="Arial" w:cs="Arial"/>
            <w:sz w:val="15"/>
            <w:szCs w:val="15"/>
          </w:rPr>
          <w:instrText xml:space="preserve"> PAGE   \* MERGEFORMAT </w:instrText>
        </w:r>
        <w:r w:rsidRPr="00D03499">
          <w:rPr>
            <w:rFonts w:ascii="Arial" w:hAnsi="Arial" w:cs="Arial"/>
            <w:sz w:val="15"/>
            <w:szCs w:val="15"/>
          </w:rPr>
          <w:fldChar w:fldCharType="separate"/>
        </w:r>
        <w:r w:rsidR="003342C4">
          <w:rPr>
            <w:rFonts w:ascii="Arial" w:hAnsi="Arial" w:cs="Arial"/>
            <w:noProof/>
            <w:sz w:val="15"/>
            <w:szCs w:val="15"/>
          </w:rPr>
          <w:t>26</w:t>
        </w:r>
        <w:r w:rsidRPr="00D03499">
          <w:rPr>
            <w:rFonts w:ascii="Arial" w:hAnsi="Arial" w:cs="Arial"/>
            <w:sz w:val="15"/>
            <w:szCs w:val="15"/>
          </w:rPr>
          <w:fldChar w:fldCharType="end"/>
        </w:r>
      </w:sdtContent>
    </w:sdt>
  </w:p>
  <w:p w:rsidR="008B7475" w:rsidRPr="007B5621" w:rsidRDefault="008B7475" w:rsidP="0098602A">
    <w:pPr>
      <w:pStyle w:val="Footer"/>
      <w:tabs>
        <w:tab w:val="clear" w:pos="4153"/>
        <w:tab w:val="clear" w:pos="8306"/>
        <w:tab w:val="right" w:pos="9355"/>
      </w:tabs>
      <w:jc w:val="center"/>
      <w:rPr>
        <w:rFonts w:ascii="Arial" w:hAnsi="Arial" w:cs="Arial"/>
      </w:rPr>
    </w:pPr>
    <w:r>
      <w:rPr>
        <w:rFonts w:ascii="Arial" w:hAnsi="Arial" w:cs="Arial"/>
        <w:sz w:val="15"/>
        <w:szCs w:val="15"/>
      </w:rPr>
      <w:t xml:space="preserve">Approved by the SFC on </w:t>
    </w:r>
    <w:r w:rsidR="00B05C4B">
      <w:rPr>
        <w:rFonts w:ascii="Arial" w:hAnsi="Arial" w:cs="Arial"/>
        <w:sz w:val="15"/>
        <w:szCs w:val="15"/>
      </w:rPr>
      <w:t>13 May</w:t>
    </w:r>
    <w:r>
      <w:rPr>
        <w:rFonts w:ascii="Arial" w:hAnsi="Arial" w:cs="Arial"/>
        <w:sz w:val="15"/>
        <w:szCs w:val="15"/>
      </w:rPr>
      <w:t xml:space="preserve"> 2011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Default="008B7475" w:rsidP="00290446">
    <w:pPr>
      <w:pStyle w:val="Footer"/>
      <w:pBdr>
        <w:top w:val="single" w:sz="4" w:space="6" w:color="auto"/>
      </w:pBdr>
      <w:tabs>
        <w:tab w:val="clear" w:pos="4153"/>
        <w:tab w:val="clear" w:pos="8306"/>
        <w:tab w:val="left" w:pos="2835"/>
        <w:tab w:val="right" w:pos="9923"/>
      </w:tabs>
      <w:spacing w:before="120"/>
      <w:ind w:right="-5"/>
      <w:rPr>
        <w:rFonts w:ascii="Arial" w:hAnsi="Arial" w:cs="Arial"/>
        <w:sz w:val="15"/>
        <w:szCs w:val="15"/>
      </w:rPr>
    </w:pPr>
    <w:r>
      <w:rPr>
        <w:rFonts w:ascii="Arial" w:hAnsi="Arial" w:cs="Arial"/>
        <w:sz w:val="15"/>
        <w:szCs w:val="15"/>
      </w:rPr>
      <w:tab/>
      <w:t xml:space="preserve">SFC </w:t>
    </w:r>
    <w:r w:rsidRPr="00C803C7">
      <w:rPr>
        <w:rFonts w:ascii="Arial" w:hAnsi="Arial" w:cs="Arial"/>
        <w:sz w:val="15"/>
        <w:szCs w:val="15"/>
      </w:rPr>
      <w:t xml:space="preserve">Corporate Plan Financial Years </w:t>
    </w:r>
    <w:r>
      <w:rPr>
        <w:rFonts w:ascii="Arial" w:hAnsi="Arial" w:cs="Arial"/>
        <w:sz w:val="15"/>
        <w:szCs w:val="15"/>
      </w:rPr>
      <w:t>2011-12</w:t>
    </w:r>
    <w:r w:rsidRPr="00C803C7">
      <w:rPr>
        <w:rFonts w:ascii="Arial" w:hAnsi="Arial" w:cs="Arial"/>
        <w:sz w:val="15"/>
        <w:szCs w:val="15"/>
      </w:rPr>
      <w:t xml:space="preserve"> to </w:t>
    </w:r>
    <w:r>
      <w:rPr>
        <w:rFonts w:ascii="Arial" w:hAnsi="Arial" w:cs="Arial"/>
        <w:sz w:val="15"/>
        <w:szCs w:val="15"/>
      </w:rPr>
      <w:t>2013-14</w:t>
    </w:r>
    <w:r>
      <w:rPr>
        <w:rFonts w:ascii="Arial" w:hAnsi="Arial" w:cs="Arial"/>
        <w:sz w:val="15"/>
        <w:szCs w:val="15"/>
      </w:rPr>
      <w:tab/>
    </w:r>
    <w:sdt>
      <w:sdtPr>
        <w:id w:val="28919967"/>
        <w:docPartObj>
          <w:docPartGallery w:val="Page Numbers (Bottom of Page)"/>
          <w:docPartUnique/>
        </w:docPartObj>
      </w:sdtPr>
      <w:sdtEndPr>
        <w:rPr>
          <w:rFonts w:ascii="Arial" w:hAnsi="Arial" w:cs="Arial"/>
          <w:sz w:val="15"/>
          <w:szCs w:val="15"/>
        </w:rPr>
      </w:sdtEndPr>
      <w:sdtContent>
        <w:r w:rsidRPr="00D03499">
          <w:rPr>
            <w:rFonts w:ascii="Arial" w:hAnsi="Arial" w:cs="Arial"/>
            <w:sz w:val="15"/>
            <w:szCs w:val="15"/>
          </w:rPr>
          <w:fldChar w:fldCharType="begin"/>
        </w:r>
        <w:r w:rsidRPr="00D03499">
          <w:rPr>
            <w:rFonts w:ascii="Arial" w:hAnsi="Arial" w:cs="Arial"/>
            <w:sz w:val="15"/>
            <w:szCs w:val="15"/>
          </w:rPr>
          <w:instrText xml:space="preserve"> PAGE   \* MERGEFORMAT </w:instrText>
        </w:r>
        <w:r w:rsidRPr="00D03499">
          <w:rPr>
            <w:rFonts w:ascii="Arial" w:hAnsi="Arial" w:cs="Arial"/>
            <w:sz w:val="15"/>
            <w:szCs w:val="15"/>
          </w:rPr>
          <w:fldChar w:fldCharType="separate"/>
        </w:r>
        <w:r w:rsidR="003342C4">
          <w:rPr>
            <w:rFonts w:ascii="Arial" w:hAnsi="Arial" w:cs="Arial"/>
            <w:noProof/>
            <w:sz w:val="15"/>
            <w:szCs w:val="15"/>
          </w:rPr>
          <w:t>25</w:t>
        </w:r>
        <w:r w:rsidRPr="00D03499">
          <w:rPr>
            <w:rFonts w:ascii="Arial" w:hAnsi="Arial" w:cs="Arial"/>
            <w:sz w:val="15"/>
            <w:szCs w:val="15"/>
          </w:rPr>
          <w:fldChar w:fldCharType="end"/>
        </w:r>
      </w:sdtContent>
    </w:sdt>
  </w:p>
  <w:p w:rsidR="008B7475" w:rsidRPr="007B5621" w:rsidRDefault="008B7475" w:rsidP="007B5621">
    <w:pPr>
      <w:pStyle w:val="Footer"/>
      <w:tabs>
        <w:tab w:val="clear" w:pos="4153"/>
        <w:tab w:val="clear" w:pos="8306"/>
        <w:tab w:val="right" w:pos="9355"/>
      </w:tabs>
      <w:jc w:val="center"/>
      <w:rPr>
        <w:rFonts w:ascii="Arial" w:hAnsi="Arial" w:cs="Arial"/>
      </w:rPr>
    </w:pPr>
    <w:r>
      <w:rPr>
        <w:rFonts w:ascii="Arial" w:hAnsi="Arial" w:cs="Arial"/>
        <w:sz w:val="15"/>
        <w:szCs w:val="15"/>
      </w:rPr>
      <w:t xml:space="preserve">Approved by the SFC on </w:t>
    </w:r>
    <w:r w:rsidR="00B05C4B">
      <w:rPr>
        <w:rFonts w:ascii="Arial" w:hAnsi="Arial" w:cs="Arial"/>
        <w:sz w:val="15"/>
        <w:szCs w:val="15"/>
      </w:rPr>
      <w:t>13 May</w:t>
    </w:r>
    <w:r>
      <w:rPr>
        <w:rFonts w:ascii="Arial" w:hAnsi="Arial" w:cs="Arial"/>
        <w:sz w:val="15"/>
        <w:szCs w:val="15"/>
      </w:rPr>
      <w:t xml:space="preserve">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DE0" w:rsidRDefault="00CC7DE0">
      <w:r>
        <w:separator/>
      </w:r>
    </w:p>
  </w:footnote>
  <w:footnote w:type="continuationSeparator" w:id="0">
    <w:p w:rsidR="00CC7DE0" w:rsidRDefault="00CC7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Pr="00DD6B05" w:rsidRDefault="008B7475" w:rsidP="00635A8E">
    <w:pPr>
      <w:pStyle w:val="Header"/>
      <w:jc w:val="right"/>
      <w:rPr>
        <w:rFonts w:ascii="Arial" w:hAnsi="Arial" w:cs="Arial"/>
        <w:b/>
      </w:rPr>
    </w:pPr>
    <w:r w:rsidRPr="00DD6B05">
      <w:rPr>
        <w:rFonts w:ascii="Arial" w:hAnsi="Arial" w:cs="Arial"/>
        <w:b/>
      </w:rPr>
      <w:t>Annex 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Pr="00364FBE" w:rsidRDefault="008B7475" w:rsidP="00364F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Pr="00107F9C" w:rsidRDefault="008B7475" w:rsidP="000B668D">
    <w:pPr>
      <w:pStyle w:val="Header"/>
      <w:tabs>
        <w:tab w:val="clear" w:pos="4153"/>
        <w:tab w:val="clear" w:pos="8306"/>
        <w:tab w:val="right" w:pos="9923"/>
      </w:tabs>
      <w:spacing w:after="480"/>
      <w:jc w:val="right"/>
      <w:rPr>
        <w:rFonts w:ascii="Arial" w:hAnsi="Arial" w:cs="Arial"/>
        <w:b/>
      </w:rPr>
    </w:pPr>
  </w:p>
  <w:p w:rsidR="008B7475" w:rsidRPr="000B668D" w:rsidRDefault="008B7475" w:rsidP="000B668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Pr="00107F9C" w:rsidRDefault="008B7475" w:rsidP="000B668D">
    <w:pPr>
      <w:pStyle w:val="Header"/>
      <w:tabs>
        <w:tab w:val="clear" w:pos="4153"/>
        <w:tab w:val="clear" w:pos="8306"/>
        <w:tab w:val="right" w:pos="9923"/>
      </w:tabs>
      <w:spacing w:after="480"/>
      <w:jc w:val="right"/>
      <w:rPr>
        <w:rFonts w:ascii="Arial" w:hAnsi="Arial" w:cs="Arial"/>
        <w:b/>
      </w:rPr>
    </w:pPr>
    <w:r w:rsidRPr="007A74ED">
      <w:rPr>
        <w:rFonts w:ascii="Arial" w:hAnsi="Arial" w:cs="Arial"/>
        <w:b/>
      </w:rPr>
      <w:t xml:space="preserve">Annex </w:t>
    </w:r>
    <w:r>
      <w:rPr>
        <w:rFonts w:ascii="Arial" w:hAnsi="Arial" w:cs="Arial"/>
        <w:b/>
      </w:rPr>
      <w:t>A</w:t>
    </w:r>
  </w:p>
  <w:p w:rsidR="008B7475" w:rsidRPr="000B668D" w:rsidRDefault="008B7475" w:rsidP="000B668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Pr="00364FBE" w:rsidRDefault="008B7475" w:rsidP="00BF4EB0">
    <w:pPr>
      <w:pStyle w:val="Header"/>
      <w:tabs>
        <w:tab w:val="clear" w:pos="4153"/>
        <w:tab w:val="clear" w:pos="8306"/>
        <w:tab w:val="right" w:pos="9923"/>
      </w:tabs>
      <w:spacing w:after="480"/>
      <w:jc w:val="right"/>
    </w:pPr>
    <w:r w:rsidRPr="007A74ED">
      <w:rPr>
        <w:rFonts w:ascii="Arial" w:hAnsi="Arial" w:cs="Arial"/>
        <w:b/>
      </w:rPr>
      <w:t xml:space="preserve">Annex </w:t>
    </w:r>
    <w:r>
      <w:rPr>
        <w:rFonts w:ascii="Arial" w:hAnsi="Arial" w:cs="Arial"/>
        <w:b/>
      </w:rPr>
      <w:t>C</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Pr="00107F9C" w:rsidRDefault="008B7475" w:rsidP="00107F9C">
    <w:pPr>
      <w:pStyle w:val="Header"/>
      <w:tabs>
        <w:tab w:val="clear" w:pos="4153"/>
        <w:tab w:val="clear" w:pos="8306"/>
        <w:tab w:val="right" w:pos="9923"/>
      </w:tabs>
      <w:spacing w:after="480"/>
      <w:jc w:val="right"/>
      <w:rPr>
        <w:rFonts w:ascii="Arial" w:hAnsi="Arial" w:cs="Arial"/>
        <w:b/>
      </w:rPr>
    </w:pPr>
    <w:r w:rsidRPr="007A74ED">
      <w:rPr>
        <w:rFonts w:ascii="Arial" w:hAnsi="Arial" w:cs="Arial"/>
        <w:b/>
      </w:rPr>
      <w:t xml:space="preserve">Annex </w:t>
    </w:r>
    <w:r>
      <w:rPr>
        <w:rFonts w:ascii="Arial" w:hAnsi="Arial" w:cs="Arial"/>
        <w:b/>
      </w:rPr>
      <w:t>B</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Pr="00107F9C" w:rsidRDefault="008B7475" w:rsidP="00107F9C">
    <w:pPr>
      <w:pStyle w:val="Header"/>
      <w:tabs>
        <w:tab w:val="clear" w:pos="4153"/>
        <w:tab w:val="clear" w:pos="8306"/>
        <w:tab w:val="right" w:pos="9923"/>
      </w:tabs>
      <w:spacing w:after="480"/>
      <w:jc w:val="right"/>
      <w:rPr>
        <w:rFonts w:ascii="Arial" w:hAnsi="Arial" w:cs="Arial"/>
        <w:b/>
      </w:rPr>
    </w:pPr>
    <w:r w:rsidRPr="007A74ED">
      <w:rPr>
        <w:rFonts w:ascii="Arial" w:hAnsi="Arial" w:cs="Arial"/>
        <w:b/>
      </w:rPr>
      <w:t xml:space="preserve">Annex </w:t>
    </w:r>
    <w:r>
      <w:rPr>
        <w:rFonts w:ascii="Arial" w:hAnsi="Arial" w:cs="Arial"/>
        <w:b/>
      </w:rPr>
      <w:t>D</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75" w:rsidRPr="007A74ED" w:rsidRDefault="008B7475" w:rsidP="004F387D">
    <w:pPr>
      <w:pStyle w:val="Header"/>
      <w:tabs>
        <w:tab w:val="clear" w:pos="4153"/>
        <w:tab w:val="clear" w:pos="8306"/>
        <w:tab w:val="right" w:pos="9360"/>
      </w:tabs>
      <w:spacing w:after="480"/>
      <w:jc w:val="right"/>
      <w:rPr>
        <w:rFonts w:ascii="Arial" w:hAnsi="Arial" w:cs="Arial"/>
        <w:b/>
      </w:rPr>
    </w:pPr>
    <w:r w:rsidRPr="007A74ED">
      <w:rPr>
        <w:rFonts w:ascii="Arial" w:hAnsi="Arial" w:cs="Arial"/>
        <w:b/>
      </w:rPr>
      <w:t xml:space="preserve">Annex </w:t>
    </w:r>
    <w:r>
      <w:rPr>
        <w:rFonts w:ascii="Arial" w:hAnsi="Arial" w:cs="Arial"/>
        <w:b/>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9B"/>
      </v:shape>
    </w:pict>
  </w:numPicBullet>
  <w:abstractNum w:abstractNumId="0">
    <w:nsid w:val="00317D41"/>
    <w:multiLevelType w:val="hybridMultilevel"/>
    <w:tmpl w:val="E53A91C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2081969"/>
    <w:multiLevelType w:val="singleLevel"/>
    <w:tmpl w:val="487E884A"/>
    <w:lvl w:ilvl="0">
      <w:start w:val="1"/>
      <w:numFmt w:val="bullet"/>
      <w:lvlText w:val=""/>
      <w:lvlJc w:val="left"/>
      <w:pPr>
        <w:tabs>
          <w:tab w:val="num" w:pos="360"/>
        </w:tabs>
        <w:ind w:left="0" w:firstLine="0"/>
      </w:pPr>
      <w:rPr>
        <w:rFonts w:ascii="Symbol" w:hAnsi="Symbol" w:hint="default"/>
      </w:rPr>
    </w:lvl>
  </w:abstractNum>
  <w:abstractNum w:abstractNumId="2">
    <w:nsid w:val="25F301D1"/>
    <w:multiLevelType w:val="hybridMultilevel"/>
    <w:tmpl w:val="DBFCF90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389A3D59"/>
    <w:multiLevelType w:val="hybridMultilevel"/>
    <w:tmpl w:val="6FA6C2BA"/>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4">
    <w:nsid w:val="3CB93C77"/>
    <w:multiLevelType w:val="hybridMultilevel"/>
    <w:tmpl w:val="E2A6B1FC"/>
    <w:lvl w:ilvl="0" w:tplc="0C09000F">
      <w:start w:val="1"/>
      <w:numFmt w:val="decimal"/>
      <w:lvlText w:val="%1."/>
      <w:lvlJc w:val="left"/>
      <w:pPr>
        <w:tabs>
          <w:tab w:val="num" w:pos="360"/>
        </w:tabs>
        <w:ind w:left="360" w:hanging="360"/>
      </w:pPr>
      <w:rPr>
        <w:rFonts w:hint="default"/>
      </w:rPr>
    </w:lvl>
    <w:lvl w:ilvl="1" w:tplc="77A2EA00">
      <w:start w:val="1"/>
      <w:numFmt w:val="bullet"/>
      <w:lvlText w:val=""/>
      <w:lvlJc w:val="left"/>
      <w:pPr>
        <w:tabs>
          <w:tab w:val="num" w:pos="1080"/>
        </w:tabs>
        <w:ind w:left="1080" w:hanging="360"/>
      </w:pPr>
      <w:rPr>
        <w:rFonts w:ascii="Wingdings" w:hAnsi="Wingdings" w:hint="default"/>
        <w:sz w:val="16"/>
        <w:szCs w:val="16"/>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nsid w:val="3D4C4814"/>
    <w:multiLevelType w:val="hybridMultilevel"/>
    <w:tmpl w:val="F11EC930"/>
    <w:lvl w:ilvl="0" w:tplc="3CB2D176">
      <w:start w:val="1"/>
      <w:numFmt w:val="bullet"/>
      <w:lvlText w:val=""/>
      <w:lvlJc w:val="left"/>
      <w:pPr>
        <w:tabs>
          <w:tab w:val="num" w:pos="964"/>
        </w:tabs>
        <w:ind w:left="964" w:hanging="397"/>
      </w:pPr>
      <w:rPr>
        <w:rFonts w:ascii="Symbol" w:hAnsi="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6">
    <w:nsid w:val="42BB365D"/>
    <w:multiLevelType w:val="singleLevel"/>
    <w:tmpl w:val="928A3376"/>
    <w:lvl w:ilvl="0">
      <w:start w:val="1"/>
      <w:numFmt w:val="decimal"/>
      <w:lvlText w:val="%1."/>
      <w:legacy w:legacy="1" w:legacySpace="0" w:legacyIndent="283"/>
      <w:lvlJc w:val="left"/>
      <w:pPr>
        <w:ind w:left="567" w:hanging="283"/>
      </w:pPr>
    </w:lvl>
  </w:abstractNum>
  <w:abstractNum w:abstractNumId="7">
    <w:nsid w:val="485C259E"/>
    <w:multiLevelType w:val="hybridMultilevel"/>
    <w:tmpl w:val="B69AC6A0"/>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4DEB0914"/>
    <w:multiLevelType w:val="hybridMultilevel"/>
    <w:tmpl w:val="D4F68A92"/>
    <w:lvl w:ilvl="0" w:tplc="3CB2D176">
      <w:start w:val="1"/>
      <w:numFmt w:val="bullet"/>
      <w:lvlText w:val=""/>
      <w:lvlJc w:val="left"/>
      <w:pPr>
        <w:tabs>
          <w:tab w:val="num" w:pos="967"/>
        </w:tabs>
        <w:ind w:left="967" w:hanging="397"/>
      </w:pPr>
      <w:rPr>
        <w:rFonts w:ascii="Symbol" w:hAnsi="Symbol" w:hint="default"/>
      </w:rPr>
    </w:lvl>
    <w:lvl w:ilvl="1" w:tplc="0C090003" w:tentative="1">
      <w:start w:val="1"/>
      <w:numFmt w:val="bullet"/>
      <w:lvlText w:val="o"/>
      <w:lvlJc w:val="left"/>
      <w:pPr>
        <w:tabs>
          <w:tab w:val="num" w:pos="2010"/>
        </w:tabs>
        <w:ind w:left="2010" w:hanging="360"/>
      </w:pPr>
      <w:rPr>
        <w:rFonts w:ascii="Courier New" w:hAnsi="Courier New" w:cs="Courier New" w:hint="default"/>
      </w:rPr>
    </w:lvl>
    <w:lvl w:ilvl="2" w:tplc="0C090005" w:tentative="1">
      <w:start w:val="1"/>
      <w:numFmt w:val="bullet"/>
      <w:lvlText w:val=""/>
      <w:lvlJc w:val="left"/>
      <w:pPr>
        <w:tabs>
          <w:tab w:val="num" w:pos="2730"/>
        </w:tabs>
        <w:ind w:left="2730" w:hanging="360"/>
      </w:pPr>
      <w:rPr>
        <w:rFonts w:ascii="Wingdings" w:hAnsi="Wingdings" w:hint="default"/>
      </w:rPr>
    </w:lvl>
    <w:lvl w:ilvl="3" w:tplc="0C090001" w:tentative="1">
      <w:start w:val="1"/>
      <w:numFmt w:val="bullet"/>
      <w:lvlText w:val=""/>
      <w:lvlJc w:val="left"/>
      <w:pPr>
        <w:tabs>
          <w:tab w:val="num" w:pos="3450"/>
        </w:tabs>
        <w:ind w:left="3450" w:hanging="360"/>
      </w:pPr>
      <w:rPr>
        <w:rFonts w:ascii="Symbol" w:hAnsi="Symbol" w:hint="default"/>
      </w:rPr>
    </w:lvl>
    <w:lvl w:ilvl="4" w:tplc="0C090003" w:tentative="1">
      <w:start w:val="1"/>
      <w:numFmt w:val="bullet"/>
      <w:lvlText w:val="o"/>
      <w:lvlJc w:val="left"/>
      <w:pPr>
        <w:tabs>
          <w:tab w:val="num" w:pos="4170"/>
        </w:tabs>
        <w:ind w:left="4170" w:hanging="360"/>
      </w:pPr>
      <w:rPr>
        <w:rFonts w:ascii="Courier New" w:hAnsi="Courier New" w:cs="Courier New" w:hint="default"/>
      </w:rPr>
    </w:lvl>
    <w:lvl w:ilvl="5" w:tplc="0C090005" w:tentative="1">
      <w:start w:val="1"/>
      <w:numFmt w:val="bullet"/>
      <w:lvlText w:val=""/>
      <w:lvlJc w:val="left"/>
      <w:pPr>
        <w:tabs>
          <w:tab w:val="num" w:pos="4890"/>
        </w:tabs>
        <w:ind w:left="4890" w:hanging="360"/>
      </w:pPr>
      <w:rPr>
        <w:rFonts w:ascii="Wingdings" w:hAnsi="Wingdings" w:hint="default"/>
      </w:rPr>
    </w:lvl>
    <w:lvl w:ilvl="6" w:tplc="0C090001" w:tentative="1">
      <w:start w:val="1"/>
      <w:numFmt w:val="bullet"/>
      <w:lvlText w:val=""/>
      <w:lvlJc w:val="left"/>
      <w:pPr>
        <w:tabs>
          <w:tab w:val="num" w:pos="5610"/>
        </w:tabs>
        <w:ind w:left="5610" w:hanging="360"/>
      </w:pPr>
      <w:rPr>
        <w:rFonts w:ascii="Symbol" w:hAnsi="Symbol" w:hint="default"/>
      </w:rPr>
    </w:lvl>
    <w:lvl w:ilvl="7" w:tplc="0C090003" w:tentative="1">
      <w:start w:val="1"/>
      <w:numFmt w:val="bullet"/>
      <w:lvlText w:val="o"/>
      <w:lvlJc w:val="left"/>
      <w:pPr>
        <w:tabs>
          <w:tab w:val="num" w:pos="6330"/>
        </w:tabs>
        <w:ind w:left="6330" w:hanging="360"/>
      </w:pPr>
      <w:rPr>
        <w:rFonts w:ascii="Courier New" w:hAnsi="Courier New" w:cs="Courier New" w:hint="default"/>
      </w:rPr>
    </w:lvl>
    <w:lvl w:ilvl="8" w:tplc="0C090005" w:tentative="1">
      <w:start w:val="1"/>
      <w:numFmt w:val="bullet"/>
      <w:lvlText w:val=""/>
      <w:lvlJc w:val="left"/>
      <w:pPr>
        <w:tabs>
          <w:tab w:val="num" w:pos="7050"/>
        </w:tabs>
        <w:ind w:left="7050" w:hanging="360"/>
      </w:pPr>
      <w:rPr>
        <w:rFonts w:ascii="Wingdings" w:hAnsi="Wingdings" w:hint="default"/>
      </w:rPr>
    </w:lvl>
  </w:abstractNum>
  <w:abstractNum w:abstractNumId="9">
    <w:nsid w:val="50BF06CE"/>
    <w:multiLevelType w:val="hybridMultilevel"/>
    <w:tmpl w:val="847E5A24"/>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0">
    <w:nsid w:val="5713339F"/>
    <w:multiLevelType w:val="hybridMultilevel"/>
    <w:tmpl w:val="399A1E22"/>
    <w:lvl w:ilvl="0" w:tplc="0C09000B">
      <w:start w:val="1"/>
      <w:numFmt w:val="bullet"/>
      <w:lvlText w:val=""/>
      <w:lvlJc w:val="left"/>
      <w:pPr>
        <w:tabs>
          <w:tab w:val="num" w:pos="720"/>
        </w:tabs>
        <w:ind w:left="72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9584D36"/>
    <w:multiLevelType w:val="hybridMultilevel"/>
    <w:tmpl w:val="C92088DC"/>
    <w:lvl w:ilvl="0" w:tplc="0C09000B">
      <w:start w:val="1"/>
      <w:numFmt w:val="bullet"/>
      <w:lvlText w:val=""/>
      <w:lvlJc w:val="left"/>
      <w:pPr>
        <w:tabs>
          <w:tab w:val="num" w:pos="266"/>
        </w:tabs>
        <w:ind w:left="266" w:firstLine="94"/>
      </w:pPr>
      <w:rPr>
        <w:rFonts w:ascii="Wingdings" w:hAnsi="Wingdings" w:hint="default"/>
        <w:sz w:val="16"/>
        <w:szCs w:val="16"/>
      </w:rPr>
    </w:lvl>
    <w:lvl w:ilvl="1" w:tplc="0C09000B">
      <w:start w:val="1"/>
      <w:numFmt w:val="bullet"/>
      <w:lvlText w:val=""/>
      <w:lvlJc w:val="left"/>
      <w:pPr>
        <w:tabs>
          <w:tab w:val="num" w:pos="1440"/>
        </w:tabs>
        <w:ind w:left="1440" w:hanging="360"/>
      </w:pPr>
      <w:rPr>
        <w:rFonts w:ascii="Wingdings" w:hAnsi="Wingdings" w:hint="default"/>
        <w:sz w:val="16"/>
        <w:szCs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E44254B"/>
    <w:multiLevelType w:val="singleLevel"/>
    <w:tmpl w:val="EE6C62BA"/>
    <w:lvl w:ilvl="0">
      <w:start w:val="1"/>
      <w:numFmt w:val="lowerLetter"/>
      <w:lvlText w:val="%1)"/>
      <w:legacy w:legacy="1" w:legacySpace="0" w:legacyIndent="283"/>
      <w:lvlJc w:val="left"/>
      <w:pPr>
        <w:ind w:left="851" w:hanging="283"/>
      </w:pPr>
    </w:lvl>
  </w:abstractNum>
  <w:abstractNum w:abstractNumId="13">
    <w:nsid w:val="64C769F4"/>
    <w:multiLevelType w:val="singleLevel"/>
    <w:tmpl w:val="97C83A1E"/>
    <w:lvl w:ilvl="0">
      <w:start w:val="6"/>
      <w:numFmt w:val="lowerLetter"/>
      <w:lvlText w:val="%1)"/>
      <w:lvlJc w:val="left"/>
      <w:pPr>
        <w:tabs>
          <w:tab w:val="num" w:pos="737"/>
        </w:tabs>
        <w:ind w:left="737" w:hanging="737"/>
      </w:pPr>
      <w:rPr>
        <w:rFonts w:hint="default"/>
      </w:rPr>
    </w:lvl>
  </w:abstractNum>
  <w:abstractNum w:abstractNumId="14">
    <w:nsid w:val="66077A07"/>
    <w:multiLevelType w:val="hybridMultilevel"/>
    <w:tmpl w:val="03B6A56E"/>
    <w:lvl w:ilvl="0" w:tplc="0C090001">
      <w:start w:val="1"/>
      <w:numFmt w:val="bullet"/>
      <w:lvlText w:val=""/>
      <w:lvlJc w:val="left"/>
      <w:pPr>
        <w:tabs>
          <w:tab w:val="num" w:pos="360"/>
        </w:tabs>
        <w:ind w:left="360" w:hanging="360"/>
      </w:pPr>
      <w:rPr>
        <w:rFonts w:ascii="Symbol" w:hAnsi="Symbol" w:hint="default"/>
      </w:rPr>
    </w:lvl>
    <w:lvl w:ilvl="1" w:tplc="77A2EA00">
      <w:start w:val="1"/>
      <w:numFmt w:val="bullet"/>
      <w:lvlText w:val=""/>
      <w:lvlJc w:val="left"/>
      <w:pPr>
        <w:tabs>
          <w:tab w:val="num" w:pos="1080"/>
        </w:tabs>
        <w:ind w:left="1080" w:hanging="360"/>
      </w:pPr>
      <w:rPr>
        <w:rFonts w:ascii="Wingdings" w:hAnsi="Wingdings" w:hint="default"/>
        <w:sz w:val="16"/>
        <w:szCs w:val="16"/>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5">
    <w:nsid w:val="72062832"/>
    <w:multiLevelType w:val="hybridMultilevel"/>
    <w:tmpl w:val="A31A922E"/>
    <w:lvl w:ilvl="0" w:tplc="3CB2D176">
      <w:start w:val="1"/>
      <w:numFmt w:val="bullet"/>
      <w:lvlText w:val=""/>
      <w:lvlJc w:val="left"/>
      <w:pPr>
        <w:tabs>
          <w:tab w:val="num" w:pos="964"/>
        </w:tabs>
        <w:ind w:left="964" w:hanging="397"/>
      </w:pPr>
      <w:rPr>
        <w:rFonts w:ascii="Symbol" w:hAnsi="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16">
    <w:nsid w:val="777F1AAC"/>
    <w:multiLevelType w:val="hybridMultilevel"/>
    <w:tmpl w:val="ED5EE936"/>
    <w:lvl w:ilvl="0" w:tplc="3CB2D176">
      <w:start w:val="1"/>
      <w:numFmt w:val="bullet"/>
      <w:lvlText w:val=""/>
      <w:lvlJc w:val="left"/>
      <w:pPr>
        <w:tabs>
          <w:tab w:val="num" w:pos="964"/>
        </w:tabs>
        <w:ind w:left="964" w:hanging="397"/>
      </w:pPr>
      <w:rPr>
        <w:rFonts w:ascii="Symbol" w:hAnsi="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num w:numId="1">
    <w:abstractNumId w:val="12"/>
  </w:num>
  <w:num w:numId="2">
    <w:abstractNumId w:val="12"/>
    <w:lvlOverride w:ilvl="0">
      <w:lvl w:ilvl="0">
        <w:start w:val="1"/>
        <w:numFmt w:val="lowerLetter"/>
        <w:lvlText w:val="%1)"/>
        <w:legacy w:legacy="1" w:legacySpace="0" w:legacyIndent="283"/>
        <w:lvlJc w:val="left"/>
        <w:pPr>
          <w:ind w:left="851" w:hanging="283"/>
        </w:pPr>
      </w:lvl>
    </w:lvlOverride>
  </w:num>
  <w:num w:numId="3">
    <w:abstractNumId w:val="6"/>
  </w:num>
  <w:num w:numId="4">
    <w:abstractNumId w:val="6"/>
    <w:lvlOverride w:ilvl="0">
      <w:lvl w:ilvl="0">
        <w:start w:val="1"/>
        <w:numFmt w:val="decimal"/>
        <w:lvlText w:val="%1."/>
        <w:legacy w:legacy="1" w:legacySpace="0" w:legacyIndent="283"/>
        <w:lvlJc w:val="left"/>
        <w:pPr>
          <w:ind w:left="567" w:hanging="283"/>
        </w:pPr>
      </w:lvl>
    </w:lvlOverride>
  </w:num>
  <w:num w:numId="5">
    <w:abstractNumId w:val="1"/>
  </w:num>
  <w:num w:numId="6">
    <w:abstractNumId w:val="13"/>
  </w:num>
  <w:num w:numId="7">
    <w:abstractNumId w:val="0"/>
  </w:num>
  <w:num w:numId="8">
    <w:abstractNumId w:val="3"/>
  </w:num>
  <w:num w:numId="9">
    <w:abstractNumId w:val="2"/>
  </w:num>
  <w:num w:numId="10">
    <w:abstractNumId w:val="9"/>
  </w:num>
  <w:num w:numId="11">
    <w:abstractNumId w:val="16"/>
  </w:num>
  <w:num w:numId="12">
    <w:abstractNumId w:val="15"/>
  </w:num>
  <w:num w:numId="13">
    <w:abstractNumId w:val="5"/>
  </w:num>
  <w:num w:numId="14">
    <w:abstractNumId w:val="8"/>
  </w:num>
  <w:num w:numId="15">
    <w:abstractNumId w:val="14"/>
  </w:num>
  <w:num w:numId="16">
    <w:abstractNumId w:val="11"/>
  </w:num>
  <w:num w:numId="17">
    <w:abstractNumId w:val="10"/>
  </w:num>
  <w:num w:numId="18">
    <w:abstractNumId w:val="7"/>
  </w:num>
  <w:num w:numId="19">
    <w:abstractNumId w:val="4"/>
  </w:num>
  <w:num w:numId="20">
    <w:abstractNumId w:val="11"/>
  </w:num>
  <w:num w:numId="2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707"/>
    <w:rsid w:val="000010E1"/>
    <w:rsid w:val="0000190F"/>
    <w:rsid w:val="00003532"/>
    <w:rsid w:val="00006267"/>
    <w:rsid w:val="00012D80"/>
    <w:rsid w:val="0002346D"/>
    <w:rsid w:val="00023708"/>
    <w:rsid w:val="00024FD3"/>
    <w:rsid w:val="00026475"/>
    <w:rsid w:val="000350FA"/>
    <w:rsid w:val="00035CF5"/>
    <w:rsid w:val="0004119F"/>
    <w:rsid w:val="00041ACE"/>
    <w:rsid w:val="000423D0"/>
    <w:rsid w:val="0004371C"/>
    <w:rsid w:val="00055233"/>
    <w:rsid w:val="00055F7E"/>
    <w:rsid w:val="00064E7F"/>
    <w:rsid w:val="00065AC1"/>
    <w:rsid w:val="00066891"/>
    <w:rsid w:val="000735C6"/>
    <w:rsid w:val="00073CB3"/>
    <w:rsid w:val="00082281"/>
    <w:rsid w:val="00082BA1"/>
    <w:rsid w:val="00087945"/>
    <w:rsid w:val="00087AAC"/>
    <w:rsid w:val="00092197"/>
    <w:rsid w:val="00092D65"/>
    <w:rsid w:val="0009484B"/>
    <w:rsid w:val="000B2A06"/>
    <w:rsid w:val="000B2CC2"/>
    <w:rsid w:val="000B4132"/>
    <w:rsid w:val="000B4B76"/>
    <w:rsid w:val="000B668D"/>
    <w:rsid w:val="000C0994"/>
    <w:rsid w:val="000C1702"/>
    <w:rsid w:val="000C2118"/>
    <w:rsid w:val="000C2800"/>
    <w:rsid w:val="000C4B1D"/>
    <w:rsid w:val="000D2782"/>
    <w:rsid w:val="000D5BB0"/>
    <w:rsid w:val="000D66F8"/>
    <w:rsid w:val="000E2293"/>
    <w:rsid w:val="000E5EC5"/>
    <w:rsid w:val="000E608E"/>
    <w:rsid w:val="000E7D46"/>
    <w:rsid w:val="000F086C"/>
    <w:rsid w:val="000F4D72"/>
    <w:rsid w:val="000F5255"/>
    <w:rsid w:val="000F69B4"/>
    <w:rsid w:val="001015D2"/>
    <w:rsid w:val="00101CFC"/>
    <w:rsid w:val="001031C3"/>
    <w:rsid w:val="00104328"/>
    <w:rsid w:val="00107F9C"/>
    <w:rsid w:val="001112A7"/>
    <w:rsid w:val="00111709"/>
    <w:rsid w:val="00116A5F"/>
    <w:rsid w:val="00121007"/>
    <w:rsid w:val="0012118A"/>
    <w:rsid w:val="00121641"/>
    <w:rsid w:val="00121870"/>
    <w:rsid w:val="0012231F"/>
    <w:rsid w:val="00122C0B"/>
    <w:rsid w:val="001236C4"/>
    <w:rsid w:val="00124BB9"/>
    <w:rsid w:val="00127EAE"/>
    <w:rsid w:val="00130F7F"/>
    <w:rsid w:val="0013211B"/>
    <w:rsid w:val="001362E1"/>
    <w:rsid w:val="0014013A"/>
    <w:rsid w:val="0014257B"/>
    <w:rsid w:val="0014359A"/>
    <w:rsid w:val="00144CB2"/>
    <w:rsid w:val="00146E3D"/>
    <w:rsid w:val="00146F35"/>
    <w:rsid w:val="00150052"/>
    <w:rsid w:val="00150566"/>
    <w:rsid w:val="00157CE7"/>
    <w:rsid w:val="001610A5"/>
    <w:rsid w:val="0016279B"/>
    <w:rsid w:val="00162E38"/>
    <w:rsid w:val="00163FE9"/>
    <w:rsid w:val="00164259"/>
    <w:rsid w:val="0016733D"/>
    <w:rsid w:val="0016769D"/>
    <w:rsid w:val="00170E31"/>
    <w:rsid w:val="0017179C"/>
    <w:rsid w:val="00171ADD"/>
    <w:rsid w:val="0017272E"/>
    <w:rsid w:val="001734B8"/>
    <w:rsid w:val="001755E2"/>
    <w:rsid w:val="00175F5C"/>
    <w:rsid w:val="00181395"/>
    <w:rsid w:val="001827DB"/>
    <w:rsid w:val="00184D4F"/>
    <w:rsid w:val="001869CA"/>
    <w:rsid w:val="0018734E"/>
    <w:rsid w:val="00190303"/>
    <w:rsid w:val="00190833"/>
    <w:rsid w:val="00191A03"/>
    <w:rsid w:val="00193976"/>
    <w:rsid w:val="00193AD8"/>
    <w:rsid w:val="001970D1"/>
    <w:rsid w:val="001A420A"/>
    <w:rsid w:val="001B16B8"/>
    <w:rsid w:val="001B2B43"/>
    <w:rsid w:val="001B3678"/>
    <w:rsid w:val="001B7E22"/>
    <w:rsid w:val="001C6E49"/>
    <w:rsid w:val="001D0BCD"/>
    <w:rsid w:val="001D2B64"/>
    <w:rsid w:val="001D5B7C"/>
    <w:rsid w:val="001E066E"/>
    <w:rsid w:val="001E1733"/>
    <w:rsid w:val="001E24FD"/>
    <w:rsid w:val="001E588C"/>
    <w:rsid w:val="001E5AF7"/>
    <w:rsid w:val="001E6621"/>
    <w:rsid w:val="001E7BF9"/>
    <w:rsid w:val="001F0A19"/>
    <w:rsid w:val="001F21D9"/>
    <w:rsid w:val="001F313F"/>
    <w:rsid w:val="001F4FF7"/>
    <w:rsid w:val="001F5397"/>
    <w:rsid w:val="002019B2"/>
    <w:rsid w:val="00207D70"/>
    <w:rsid w:val="00211CBC"/>
    <w:rsid w:val="00212A70"/>
    <w:rsid w:val="00213ACC"/>
    <w:rsid w:val="00216752"/>
    <w:rsid w:val="00216C78"/>
    <w:rsid w:val="002201B9"/>
    <w:rsid w:val="00220551"/>
    <w:rsid w:val="0023374D"/>
    <w:rsid w:val="0023603C"/>
    <w:rsid w:val="002441A3"/>
    <w:rsid w:val="00245757"/>
    <w:rsid w:val="00246991"/>
    <w:rsid w:val="00246A8A"/>
    <w:rsid w:val="00246DB6"/>
    <w:rsid w:val="00251CAC"/>
    <w:rsid w:val="0025762B"/>
    <w:rsid w:val="00257DE6"/>
    <w:rsid w:val="00260568"/>
    <w:rsid w:val="002634AE"/>
    <w:rsid w:val="00264680"/>
    <w:rsid w:val="00265377"/>
    <w:rsid w:val="00266D55"/>
    <w:rsid w:val="002672A8"/>
    <w:rsid w:val="00271D3F"/>
    <w:rsid w:val="002748F9"/>
    <w:rsid w:val="0027556C"/>
    <w:rsid w:val="00277EDA"/>
    <w:rsid w:val="002802ED"/>
    <w:rsid w:val="00287CD5"/>
    <w:rsid w:val="00290446"/>
    <w:rsid w:val="00292DBF"/>
    <w:rsid w:val="00293375"/>
    <w:rsid w:val="00295D15"/>
    <w:rsid w:val="0029758D"/>
    <w:rsid w:val="00297F6D"/>
    <w:rsid w:val="002A2697"/>
    <w:rsid w:val="002A4AE2"/>
    <w:rsid w:val="002A5B6D"/>
    <w:rsid w:val="002A659D"/>
    <w:rsid w:val="002A67D3"/>
    <w:rsid w:val="002A7EF3"/>
    <w:rsid w:val="002B19CC"/>
    <w:rsid w:val="002B678E"/>
    <w:rsid w:val="002B6B5F"/>
    <w:rsid w:val="002B6DCD"/>
    <w:rsid w:val="002C0796"/>
    <w:rsid w:val="002C4FEB"/>
    <w:rsid w:val="002C6A2B"/>
    <w:rsid w:val="002C6DEE"/>
    <w:rsid w:val="002D1435"/>
    <w:rsid w:val="002D2F41"/>
    <w:rsid w:val="002D314C"/>
    <w:rsid w:val="002D3CC9"/>
    <w:rsid w:val="002D5281"/>
    <w:rsid w:val="002D594C"/>
    <w:rsid w:val="002D5D9E"/>
    <w:rsid w:val="002D686B"/>
    <w:rsid w:val="002D7FD0"/>
    <w:rsid w:val="002E020C"/>
    <w:rsid w:val="002E1A72"/>
    <w:rsid w:val="002E2153"/>
    <w:rsid w:val="002E4097"/>
    <w:rsid w:val="002E7C52"/>
    <w:rsid w:val="002F06A9"/>
    <w:rsid w:val="002F0CFF"/>
    <w:rsid w:val="002F3CD1"/>
    <w:rsid w:val="002F439E"/>
    <w:rsid w:val="002F6D49"/>
    <w:rsid w:val="002F745D"/>
    <w:rsid w:val="002F79BB"/>
    <w:rsid w:val="003023DC"/>
    <w:rsid w:val="00303388"/>
    <w:rsid w:val="00304266"/>
    <w:rsid w:val="00305296"/>
    <w:rsid w:val="0030661E"/>
    <w:rsid w:val="00307592"/>
    <w:rsid w:val="00310685"/>
    <w:rsid w:val="00311F7C"/>
    <w:rsid w:val="0031507B"/>
    <w:rsid w:val="00317FEB"/>
    <w:rsid w:val="00320D2C"/>
    <w:rsid w:val="003214EF"/>
    <w:rsid w:val="0032308E"/>
    <w:rsid w:val="00323A0F"/>
    <w:rsid w:val="00324AE1"/>
    <w:rsid w:val="003303D6"/>
    <w:rsid w:val="00330D1A"/>
    <w:rsid w:val="00332663"/>
    <w:rsid w:val="003342C4"/>
    <w:rsid w:val="00336D6E"/>
    <w:rsid w:val="00341819"/>
    <w:rsid w:val="00345091"/>
    <w:rsid w:val="00346B58"/>
    <w:rsid w:val="003503B3"/>
    <w:rsid w:val="0035274D"/>
    <w:rsid w:val="003537EC"/>
    <w:rsid w:val="00360FFE"/>
    <w:rsid w:val="00361280"/>
    <w:rsid w:val="003615DA"/>
    <w:rsid w:val="003626EE"/>
    <w:rsid w:val="00362DCD"/>
    <w:rsid w:val="00364AAA"/>
    <w:rsid w:val="00364FBE"/>
    <w:rsid w:val="00370B9D"/>
    <w:rsid w:val="003739A2"/>
    <w:rsid w:val="003745D0"/>
    <w:rsid w:val="00374634"/>
    <w:rsid w:val="00374B5A"/>
    <w:rsid w:val="00375DAA"/>
    <w:rsid w:val="0037773B"/>
    <w:rsid w:val="00377C69"/>
    <w:rsid w:val="00377D9F"/>
    <w:rsid w:val="003809A9"/>
    <w:rsid w:val="003819A8"/>
    <w:rsid w:val="00381FA7"/>
    <w:rsid w:val="00384CF9"/>
    <w:rsid w:val="003853AD"/>
    <w:rsid w:val="003854F1"/>
    <w:rsid w:val="0038705E"/>
    <w:rsid w:val="003870A5"/>
    <w:rsid w:val="00387E13"/>
    <w:rsid w:val="00392B35"/>
    <w:rsid w:val="0039358B"/>
    <w:rsid w:val="003A1E57"/>
    <w:rsid w:val="003A4342"/>
    <w:rsid w:val="003B1964"/>
    <w:rsid w:val="003B2129"/>
    <w:rsid w:val="003B3072"/>
    <w:rsid w:val="003B5401"/>
    <w:rsid w:val="003C26D6"/>
    <w:rsid w:val="003C2B87"/>
    <w:rsid w:val="003C65E8"/>
    <w:rsid w:val="003C65F4"/>
    <w:rsid w:val="003C6985"/>
    <w:rsid w:val="003C6F9D"/>
    <w:rsid w:val="003D023E"/>
    <w:rsid w:val="003D3301"/>
    <w:rsid w:val="003D4677"/>
    <w:rsid w:val="003D5262"/>
    <w:rsid w:val="003D53A9"/>
    <w:rsid w:val="003D55EB"/>
    <w:rsid w:val="003D5D91"/>
    <w:rsid w:val="003D651E"/>
    <w:rsid w:val="003E14DC"/>
    <w:rsid w:val="003E262F"/>
    <w:rsid w:val="003E4EBF"/>
    <w:rsid w:val="003E7ACD"/>
    <w:rsid w:val="003F5979"/>
    <w:rsid w:val="003F6212"/>
    <w:rsid w:val="003F6CAA"/>
    <w:rsid w:val="00400EB9"/>
    <w:rsid w:val="00404880"/>
    <w:rsid w:val="00410100"/>
    <w:rsid w:val="00413042"/>
    <w:rsid w:val="0041305A"/>
    <w:rsid w:val="004153A3"/>
    <w:rsid w:val="004157B8"/>
    <w:rsid w:val="00416A40"/>
    <w:rsid w:val="004174C2"/>
    <w:rsid w:val="00420984"/>
    <w:rsid w:val="00424EB6"/>
    <w:rsid w:val="00427853"/>
    <w:rsid w:val="00427BE7"/>
    <w:rsid w:val="00427E42"/>
    <w:rsid w:val="0043037C"/>
    <w:rsid w:val="00430D76"/>
    <w:rsid w:val="00440B7D"/>
    <w:rsid w:val="0044333A"/>
    <w:rsid w:val="00445220"/>
    <w:rsid w:val="004467E9"/>
    <w:rsid w:val="004529A6"/>
    <w:rsid w:val="004564B0"/>
    <w:rsid w:val="00457E75"/>
    <w:rsid w:val="004608DF"/>
    <w:rsid w:val="00462565"/>
    <w:rsid w:val="004627BA"/>
    <w:rsid w:val="00464518"/>
    <w:rsid w:val="00467D8C"/>
    <w:rsid w:val="00471D55"/>
    <w:rsid w:val="004721BA"/>
    <w:rsid w:val="00480771"/>
    <w:rsid w:val="00481277"/>
    <w:rsid w:val="0048183C"/>
    <w:rsid w:val="00482439"/>
    <w:rsid w:val="00487440"/>
    <w:rsid w:val="004913B9"/>
    <w:rsid w:val="00493421"/>
    <w:rsid w:val="00493521"/>
    <w:rsid w:val="00495F9D"/>
    <w:rsid w:val="0049678B"/>
    <w:rsid w:val="004974E7"/>
    <w:rsid w:val="00497AED"/>
    <w:rsid w:val="004A1D8D"/>
    <w:rsid w:val="004A2BF1"/>
    <w:rsid w:val="004A7226"/>
    <w:rsid w:val="004B13AC"/>
    <w:rsid w:val="004B5504"/>
    <w:rsid w:val="004B6163"/>
    <w:rsid w:val="004B7612"/>
    <w:rsid w:val="004C2168"/>
    <w:rsid w:val="004C5030"/>
    <w:rsid w:val="004C5A49"/>
    <w:rsid w:val="004C5F98"/>
    <w:rsid w:val="004C63EB"/>
    <w:rsid w:val="004C7BFF"/>
    <w:rsid w:val="004C7EF5"/>
    <w:rsid w:val="004D0149"/>
    <w:rsid w:val="004D454B"/>
    <w:rsid w:val="004D63B1"/>
    <w:rsid w:val="004D774F"/>
    <w:rsid w:val="004E0094"/>
    <w:rsid w:val="004E4F11"/>
    <w:rsid w:val="004F1444"/>
    <w:rsid w:val="004F2351"/>
    <w:rsid w:val="004F2DFE"/>
    <w:rsid w:val="004F2FC0"/>
    <w:rsid w:val="004F302F"/>
    <w:rsid w:val="004F387D"/>
    <w:rsid w:val="004F484E"/>
    <w:rsid w:val="004F5AE5"/>
    <w:rsid w:val="004F6A39"/>
    <w:rsid w:val="00502158"/>
    <w:rsid w:val="00506145"/>
    <w:rsid w:val="0050692D"/>
    <w:rsid w:val="00510750"/>
    <w:rsid w:val="005136CD"/>
    <w:rsid w:val="005137C6"/>
    <w:rsid w:val="005144A2"/>
    <w:rsid w:val="005205A5"/>
    <w:rsid w:val="00521B5B"/>
    <w:rsid w:val="00526BE2"/>
    <w:rsid w:val="00527830"/>
    <w:rsid w:val="00531C5A"/>
    <w:rsid w:val="0053531E"/>
    <w:rsid w:val="005360D3"/>
    <w:rsid w:val="00540BBA"/>
    <w:rsid w:val="00543A09"/>
    <w:rsid w:val="00545241"/>
    <w:rsid w:val="0054638D"/>
    <w:rsid w:val="00550747"/>
    <w:rsid w:val="00560312"/>
    <w:rsid w:val="00562560"/>
    <w:rsid w:val="005651D3"/>
    <w:rsid w:val="005671F7"/>
    <w:rsid w:val="00570B1B"/>
    <w:rsid w:val="005712D3"/>
    <w:rsid w:val="005724D0"/>
    <w:rsid w:val="00573C61"/>
    <w:rsid w:val="00575A55"/>
    <w:rsid w:val="00577F46"/>
    <w:rsid w:val="00580305"/>
    <w:rsid w:val="005841F6"/>
    <w:rsid w:val="00585A9E"/>
    <w:rsid w:val="00587439"/>
    <w:rsid w:val="00590B2F"/>
    <w:rsid w:val="0059258F"/>
    <w:rsid w:val="00592C53"/>
    <w:rsid w:val="00592D6A"/>
    <w:rsid w:val="00594EFB"/>
    <w:rsid w:val="00595E6B"/>
    <w:rsid w:val="005963C8"/>
    <w:rsid w:val="005A0053"/>
    <w:rsid w:val="005A3DA6"/>
    <w:rsid w:val="005A52A8"/>
    <w:rsid w:val="005B2670"/>
    <w:rsid w:val="005B3788"/>
    <w:rsid w:val="005B5592"/>
    <w:rsid w:val="005C1F75"/>
    <w:rsid w:val="005C3BFA"/>
    <w:rsid w:val="005C4759"/>
    <w:rsid w:val="005C4A7C"/>
    <w:rsid w:val="005C55A1"/>
    <w:rsid w:val="005C7321"/>
    <w:rsid w:val="005D190A"/>
    <w:rsid w:val="005D1A0F"/>
    <w:rsid w:val="005D21F3"/>
    <w:rsid w:val="005D7DC7"/>
    <w:rsid w:val="005E1306"/>
    <w:rsid w:val="005E3152"/>
    <w:rsid w:val="005E38FF"/>
    <w:rsid w:val="005E649F"/>
    <w:rsid w:val="005E6836"/>
    <w:rsid w:val="005F01E2"/>
    <w:rsid w:val="005F1540"/>
    <w:rsid w:val="005F27F4"/>
    <w:rsid w:val="005F2896"/>
    <w:rsid w:val="005F3E91"/>
    <w:rsid w:val="005F464F"/>
    <w:rsid w:val="005F6672"/>
    <w:rsid w:val="005F6E65"/>
    <w:rsid w:val="00600CB1"/>
    <w:rsid w:val="00601CAB"/>
    <w:rsid w:val="00603AFD"/>
    <w:rsid w:val="0060692D"/>
    <w:rsid w:val="00606FB2"/>
    <w:rsid w:val="006078E4"/>
    <w:rsid w:val="00612971"/>
    <w:rsid w:val="00613445"/>
    <w:rsid w:val="00614012"/>
    <w:rsid w:val="006160FE"/>
    <w:rsid w:val="00616ACB"/>
    <w:rsid w:val="00616F1E"/>
    <w:rsid w:val="0061707F"/>
    <w:rsid w:val="0061754D"/>
    <w:rsid w:val="00621668"/>
    <w:rsid w:val="006226E7"/>
    <w:rsid w:val="006228D4"/>
    <w:rsid w:val="006272FA"/>
    <w:rsid w:val="00627FA5"/>
    <w:rsid w:val="006354FB"/>
    <w:rsid w:val="00635A8E"/>
    <w:rsid w:val="00636278"/>
    <w:rsid w:val="006363C9"/>
    <w:rsid w:val="00636948"/>
    <w:rsid w:val="00637F6D"/>
    <w:rsid w:val="00641413"/>
    <w:rsid w:val="0064148B"/>
    <w:rsid w:val="0064564A"/>
    <w:rsid w:val="0064629E"/>
    <w:rsid w:val="0065029A"/>
    <w:rsid w:val="0065061D"/>
    <w:rsid w:val="00651126"/>
    <w:rsid w:val="00653E95"/>
    <w:rsid w:val="00661711"/>
    <w:rsid w:val="00662544"/>
    <w:rsid w:val="006650A9"/>
    <w:rsid w:val="006711C1"/>
    <w:rsid w:val="00672C76"/>
    <w:rsid w:val="0067493E"/>
    <w:rsid w:val="0067523D"/>
    <w:rsid w:val="00677889"/>
    <w:rsid w:val="00681B62"/>
    <w:rsid w:val="00682FF2"/>
    <w:rsid w:val="00684AF5"/>
    <w:rsid w:val="0068644D"/>
    <w:rsid w:val="00687856"/>
    <w:rsid w:val="00692520"/>
    <w:rsid w:val="00693C35"/>
    <w:rsid w:val="00696993"/>
    <w:rsid w:val="0069759A"/>
    <w:rsid w:val="006A0596"/>
    <w:rsid w:val="006A29BA"/>
    <w:rsid w:val="006B1BAD"/>
    <w:rsid w:val="006B4367"/>
    <w:rsid w:val="006B757D"/>
    <w:rsid w:val="006C3469"/>
    <w:rsid w:val="006D3885"/>
    <w:rsid w:val="006D3DE2"/>
    <w:rsid w:val="006D5F7D"/>
    <w:rsid w:val="006D63B0"/>
    <w:rsid w:val="006D6F3F"/>
    <w:rsid w:val="006E062D"/>
    <w:rsid w:val="006F1469"/>
    <w:rsid w:val="006F4C5C"/>
    <w:rsid w:val="00700938"/>
    <w:rsid w:val="0070142D"/>
    <w:rsid w:val="0070445D"/>
    <w:rsid w:val="007044FB"/>
    <w:rsid w:val="007046EF"/>
    <w:rsid w:val="00705651"/>
    <w:rsid w:val="00714E62"/>
    <w:rsid w:val="00715677"/>
    <w:rsid w:val="0071600F"/>
    <w:rsid w:val="00720882"/>
    <w:rsid w:val="007219AD"/>
    <w:rsid w:val="0072435C"/>
    <w:rsid w:val="00725497"/>
    <w:rsid w:val="00726C33"/>
    <w:rsid w:val="007302DC"/>
    <w:rsid w:val="007307A2"/>
    <w:rsid w:val="00733164"/>
    <w:rsid w:val="007348E5"/>
    <w:rsid w:val="007361D3"/>
    <w:rsid w:val="007430CC"/>
    <w:rsid w:val="00743583"/>
    <w:rsid w:val="007436C8"/>
    <w:rsid w:val="00743B5F"/>
    <w:rsid w:val="00743DFC"/>
    <w:rsid w:val="007450DC"/>
    <w:rsid w:val="00747134"/>
    <w:rsid w:val="00750FE4"/>
    <w:rsid w:val="0075317A"/>
    <w:rsid w:val="00755D94"/>
    <w:rsid w:val="007564F5"/>
    <w:rsid w:val="00756CD2"/>
    <w:rsid w:val="00762C2B"/>
    <w:rsid w:val="00762DD8"/>
    <w:rsid w:val="00763287"/>
    <w:rsid w:val="00764283"/>
    <w:rsid w:val="00765D96"/>
    <w:rsid w:val="00765DA3"/>
    <w:rsid w:val="00770C02"/>
    <w:rsid w:val="00772822"/>
    <w:rsid w:val="00773210"/>
    <w:rsid w:val="00784C04"/>
    <w:rsid w:val="00787F1A"/>
    <w:rsid w:val="00791B65"/>
    <w:rsid w:val="00792340"/>
    <w:rsid w:val="0079330B"/>
    <w:rsid w:val="007947DA"/>
    <w:rsid w:val="00794E07"/>
    <w:rsid w:val="007A19EF"/>
    <w:rsid w:val="007A6FA7"/>
    <w:rsid w:val="007A74ED"/>
    <w:rsid w:val="007B0491"/>
    <w:rsid w:val="007B15FC"/>
    <w:rsid w:val="007B223B"/>
    <w:rsid w:val="007B309E"/>
    <w:rsid w:val="007B4248"/>
    <w:rsid w:val="007B4557"/>
    <w:rsid w:val="007B5621"/>
    <w:rsid w:val="007B7160"/>
    <w:rsid w:val="007C14E0"/>
    <w:rsid w:val="007C2376"/>
    <w:rsid w:val="007C50CB"/>
    <w:rsid w:val="007C5430"/>
    <w:rsid w:val="007C5B61"/>
    <w:rsid w:val="007C68BE"/>
    <w:rsid w:val="007C73EC"/>
    <w:rsid w:val="007D0AE9"/>
    <w:rsid w:val="007D2FA8"/>
    <w:rsid w:val="007D70D3"/>
    <w:rsid w:val="007D7E2B"/>
    <w:rsid w:val="007E1AAB"/>
    <w:rsid w:val="007E44CA"/>
    <w:rsid w:val="007E4FB2"/>
    <w:rsid w:val="007F230D"/>
    <w:rsid w:val="007F2A05"/>
    <w:rsid w:val="007F4B87"/>
    <w:rsid w:val="007F583B"/>
    <w:rsid w:val="007F6A69"/>
    <w:rsid w:val="008023BA"/>
    <w:rsid w:val="008038C6"/>
    <w:rsid w:val="00804572"/>
    <w:rsid w:val="008047D6"/>
    <w:rsid w:val="008051C4"/>
    <w:rsid w:val="008106A0"/>
    <w:rsid w:val="0081084A"/>
    <w:rsid w:val="00810B6B"/>
    <w:rsid w:val="008124F1"/>
    <w:rsid w:val="008132F5"/>
    <w:rsid w:val="00815A53"/>
    <w:rsid w:val="0081715F"/>
    <w:rsid w:val="00820544"/>
    <w:rsid w:val="008211F7"/>
    <w:rsid w:val="00822436"/>
    <w:rsid w:val="008277F7"/>
    <w:rsid w:val="00827808"/>
    <w:rsid w:val="0083278B"/>
    <w:rsid w:val="0083415A"/>
    <w:rsid w:val="0083483B"/>
    <w:rsid w:val="00835084"/>
    <w:rsid w:val="00837101"/>
    <w:rsid w:val="00842A98"/>
    <w:rsid w:val="008435BC"/>
    <w:rsid w:val="0084677E"/>
    <w:rsid w:val="00856364"/>
    <w:rsid w:val="00856CBE"/>
    <w:rsid w:val="00860C95"/>
    <w:rsid w:val="008637AD"/>
    <w:rsid w:val="00863A6E"/>
    <w:rsid w:val="00865BC0"/>
    <w:rsid w:val="0087675D"/>
    <w:rsid w:val="00882F10"/>
    <w:rsid w:val="00890CBE"/>
    <w:rsid w:val="0089598A"/>
    <w:rsid w:val="00896BF7"/>
    <w:rsid w:val="008A1D7C"/>
    <w:rsid w:val="008A2F24"/>
    <w:rsid w:val="008A328E"/>
    <w:rsid w:val="008A3BFD"/>
    <w:rsid w:val="008A3D6B"/>
    <w:rsid w:val="008A6B4C"/>
    <w:rsid w:val="008A75E5"/>
    <w:rsid w:val="008B0BDE"/>
    <w:rsid w:val="008B3BC2"/>
    <w:rsid w:val="008B7475"/>
    <w:rsid w:val="008B7A25"/>
    <w:rsid w:val="008C3517"/>
    <w:rsid w:val="008C55EE"/>
    <w:rsid w:val="008C62B5"/>
    <w:rsid w:val="008C632E"/>
    <w:rsid w:val="008C6A5E"/>
    <w:rsid w:val="008C6FE7"/>
    <w:rsid w:val="008C7345"/>
    <w:rsid w:val="008D00FA"/>
    <w:rsid w:val="008D1913"/>
    <w:rsid w:val="008D2F2B"/>
    <w:rsid w:val="008D75BD"/>
    <w:rsid w:val="008E1749"/>
    <w:rsid w:val="008E191A"/>
    <w:rsid w:val="008E32F3"/>
    <w:rsid w:val="008F0209"/>
    <w:rsid w:val="008F16D7"/>
    <w:rsid w:val="008F262A"/>
    <w:rsid w:val="0090499A"/>
    <w:rsid w:val="00906BF3"/>
    <w:rsid w:val="009126F7"/>
    <w:rsid w:val="009131BE"/>
    <w:rsid w:val="00914CB4"/>
    <w:rsid w:val="009201E6"/>
    <w:rsid w:val="009205AD"/>
    <w:rsid w:val="00920DCC"/>
    <w:rsid w:val="00921234"/>
    <w:rsid w:val="00922041"/>
    <w:rsid w:val="00922EAD"/>
    <w:rsid w:val="0092493F"/>
    <w:rsid w:val="009250BB"/>
    <w:rsid w:val="009255F5"/>
    <w:rsid w:val="0093190C"/>
    <w:rsid w:val="0093373A"/>
    <w:rsid w:val="009368FA"/>
    <w:rsid w:val="00940244"/>
    <w:rsid w:val="00943543"/>
    <w:rsid w:val="00943DCC"/>
    <w:rsid w:val="00944DC5"/>
    <w:rsid w:val="00946E57"/>
    <w:rsid w:val="00950A06"/>
    <w:rsid w:val="009525BE"/>
    <w:rsid w:val="00953442"/>
    <w:rsid w:val="00954F20"/>
    <w:rsid w:val="00965DA8"/>
    <w:rsid w:val="009674F0"/>
    <w:rsid w:val="009708E7"/>
    <w:rsid w:val="00980AE7"/>
    <w:rsid w:val="0098602A"/>
    <w:rsid w:val="00987494"/>
    <w:rsid w:val="0099324F"/>
    <w:rsid w:val="009941A8"/>
    <w:rsid w:val="00995E5D"/>
    <w:rsid w:val="009B02A0"/>
    <w:rsid w:val="009B551D"/>
    <w:rsid w:val="009B6232"/>
    <w:rsid w:val="009B6715"/>
    <w:rsid w:val="009C0C96"/>
    <w:rsid w:val="009C2F05"/>
    <w:rsid w:val="009C3489"/>
    <w:rsid w:val="009C669F"/>
    <w:rsid w:val="009C6C98"/>
    <w:rsid w:val="009C71DA"/>
    <w:rsid w:val="009C729B"/>
    <w:rsid w:val="009D19B1"/>
    <w:rsid w:val="009D4861"/>
    <w:rsid w:val="009D5D72"/>
    <w:rsid w:val="009D6503"/>
    <w:rsid w:val="009E07BA"/>
    <w:rsid w:val="009E2951"/>
    <w:rsid w:val="009E3191"/>
    <w:rsid w:val="009E3BC5"/>
    <w:rsid w:val="009E4FE9"/>
    <w:rsid w:val="009E6AE1"/>
    <w:rsid w:val="009F08C5"/>
    <w:rsid w:val="009F3B7B"/>
    <w:rsid w:val="009F76FE"/>
    <w:rsid w:val="00A009EA"/>
    <w:rsid w:val="00A058AC"/>
    <w:rsid w:val="00A06CAB"/>
    <w:rsid w:val="00A11BF7"/>
    <w:rsid w:val="00A23179"/>
    <w:rsid w:val="00A23A69"/>
    <w:rsid w:val="00A23DBD"/>
    <w:rsid w:val="00A2440C"/>
    <w:rsid w:val="00A27640"/>
    <w:rsid w:val="00A27AE4"/>
    <w:rsid w:val="00A27BBA"/>
    <w:rsid w:val="00A32B6A"/>
    <w:rsid w:val="00A36FEF"/>
    <w:rsid w:val="00A440D0"/>
    <w:rsid w:val="00A45939"/>
    <w:rsid w:val="00A5220F"/>
    <w:rsid w:val="00A532BD"/>
    <w:rsid w:val="00A54E2D"/>
    <w:rsid w:val="00A5654A"/>
    <w:rsid w:val="00A57562"/>
    <w:rsid w:val="00A60972"/>
    <w:rsid w:val="00A622A1"/>
    <w:rsid w:val="00A672EB"/>
    <w:rsid w:val="00A736F1"/>
    <w:rsid w:val="00A73EDD"/>
    <w:rsid w:val="00A7587B"/>
    <w:rsid w:val="00A82053"/>
    <w:rsid w:val="00A835FD"/>
    <w:rsid w:val="00A85F83"/>
    <w:rsid w:val="00A8687D"/>
    <w:rsid w:val="00A90712"/>
    <w:rsid w:val="00A92D0C"/>
    <w:rsid w:val="00A96959"/>
    <w:rsid w:val="00A96CCF"/>
    <w:rsid w:val="00A976B2"/>
    <w:rsid w:val="00A97912"/>
    <w:rsid w:val="00AA36CE"/>
    <w:rsid w:val="00AA4092"/>
    <w:rsid w:val="00AB1622"/>
    <w:rsid w:val="00AB3299"/>
    <w:rsid w:val="00AD3E26"/>
    <w:rsid w:val="00AF02C6"/>
    <w:rsid w:val="00AF189A"/>
    <w:rsid w:val="00AF1B79"/>
    <w:rsid w:val="00AF245B"/>
    <w:rsid w:val="00AF3ED9"/>
    <w:rsid w:val="00B023DD"/>
    <w:rsid w:val="00B04682"/>
    <w:rsid w:val="00B04FA1"/>
    <w:rsid w:val="00B05C4B"/>
    <w:rsid w:val="00B12D4B"/>
    <w:rsid w:val="00B17555"/>
    <w:rsid w:val="00B2189D"/>
    <w:rsid w:val="00B22815"/>
    <w:rsid w:val="00B22CCD"/>
    <w:rsid w:val="00B30874"/>
    <w:rsid w:val="00B32565"/>
    <w:rsid w:val="00B33CDD"/>
    <w:rsid w:val="00B44C44"/>
    <w:rsid w:val="00B46109"/>
    <w:rsid w:val="00B47643"/>
    <w:rsid w:val="00B562DB"/>
    <w:rsid w:val="00B5719F"/>
    <w:rsid w:val="00B615C7"/>
    <w:rsid w:val="00B62D5D"/>
    <w:rsid w:val="00B64F95"/>
    <w:rsid w:val="00B6505D"/>
    <w:rsid w:val="00B6519A"/>
    <w:rsid w:val="00B67465"/>
    <w:rsid w:val="00B72121"/>
    <w:rsid w:val="00B73A6E"/>
    <w:rsid w:val="00B73B68"/>
    <w:rsid w:val="00B77B19"/>
    <w:rsid w:val="00B80693"/>
    <w:rsid w:val="00B834B5"/>
    <w:rsid w:val="00B8478E"/>
    <w:rsid w:val="00B86997"/>
    <w:rsid w:val="00B9003A"/>
    <w:rsid w:val="00B9228A"/>
    <w:rsid w:val="00B92637"/>
    <w:rsid w:val="00B92724"/>
    <w:rsid w:val="00B9345B"/>
    <w:rsid w:val="00B9351D"/>
    <w:rsid w:val="00B962D3"/>
    <w:rsid w:val="00BA3684"/>
    <w:rsid w:val="00BA384C"/>
    <w:rsid w:val="00BA5B71"/>
    <w:rsid w:val="00BA76E8"/>
    <w:rsid w:val="00BA7FC2"/>
    <w:rsid w:val="00BB0BC9"/>
    <w:rsid w:val="00BB3A7C"/>
    <w:rsid w:val="00BB45D5"/>
    <w:rsid w:val="00BC3908"/>
    <w:rsid w:val="00BC47D1"/>
    <w:rsid w:val="00BC6203"/>
    <w:rsid w:val="00BC6EE5"/>
    <w:rsid w:val="00BD144B"/>
    <w:rsid w:val="00BD193E"/>
    <w:rsid w:val="00BD3030"/>
    <w:rsid w:val="00BD396D"/>
    <w:rsid w:val="00BD3D25"/>
    <w:rsid w:val="00BD750D"/>
    <w:rsid w:val="00BE2D5C"/>
    <w:rsid w:val="00BE47CB"/>
    <w:rsid w:val="00BE595F"/>
    <w:rsid w:val="00BF2FB7"/>
    <w:rsid w:val="00BF48C4"/>
    <w:rsid w:val="00BF4EB0"/>
    <w:rsid w:val="00BF5257"/>
    <w:rsid w:val="00BF7C35"/>
    <w:rsid w:val="00C01321"/>
    <w:rsid w:val="00C02A8A"/>
    <w:rsid w:val="00C06FA6"/>
    <w:rsid w:val="00C0724F"/>
    <w:rsid w:val="00C12614"/>
    <w:rsid w:val="00C14DC8"/>
    <w:rsid w:val="00C15A0A"/>
    <w:rsid w:val="00C17F66"/>
    <w:rsid w:val="00C23D2B"/>
    <w:rsid w:val="00C23EF6"/>
    <w:rsid w:val="00C24108"/>
    <w:rsid w:val="00C30410"/>
    <w:rsid w:val="00C309B6"/>
    <w:rsid w:val="00C30DF5"/>
    <w:rsid w:val="00C3440D"/>
    <w:rsid w:val="00C421CD"/>
    <w:rsid w:val="00C42D37"/>
    <w:rsid w:val="00C43688"/>
    <w:rsid w:val="00C455B6"/>
    <w:rsid w:val="00C4560B"/>
    <w:rsid w:val="00C549BB"/>
    <w:rsid w:val="00C60DC9"/>
    <w:rsid w:val="00C63261"/>
    <w:rsid w:val="00C704CF"/>
    <w:rsid w:val="00C713AC"/>
    <w:rsid w:val="00C735BB"/>
    <w:rsid w:val="00C74A2F"/>
    <w:rsid w:val="00C7564F"/>
    <w:rsid w:val="00C75675"/>
    <w:rsid w:val="00C803C7"/>
    <w:rsid w:val="00C81FFC"/>
    <w:rsid w:val="00C83B5D"/>
    <w:rsid w:val="00C84B96"/>
    <w:rsid w:val="00C865B4"/>
    <w:rsid w:val="00C94544"/>
    <w:rsid w:val="00C956C0"/>
    <w:rsid w:val="00C9724F"/>
    <w:rsid w:val="00CA03FF"/>
    <w:rsid w:val="00CA0C15"/>
    <w:rsid w:val="00CA101D"/>
    <w:rsid w:val="00CA1EA4"/>
    <w:rsid w:val="00CA21E0"/>
    <w:rsid w:val="00CA2B82"/>
    <w:rsid w:val="00CA72CD"/>
    <w:rsid w:val="00CB0FB7"/>
    <w:rsid w:val="00CB11B1"/>
    <w:rsid w:val="00CB487D"/>
    <w:rsid w:val="00CB4D08"/>
    <w:rsid w:val="00CB5088"/>
    <w:rsid w:val="00CB592B"/>
    <w:rsid w:val="00CB7065"/>
    <w:rsid w:val="00CB79EC"/>
    <w:rsid w:val="00CC00EA"/>
    <w:rsid w:val="00CC09E3"/>
    <w:rsid w:val="00CC0C9B"/>
    <w:rsid w:val="00CC6355"/>
    <w:rsid w:val="00CC691D"/>
    <w:rsid w:val="00CC7529"/>
    <w:rsid w:val="00CC7DE0"/>
    <w:rsid w:val="00CD0379"/>
    <w:rsid w:val="00CD58CF"/>
    <w:rsid w:val="00CD5ADF"/>
    <w:rsid w:val="00CD6DBD"/>
    <w:rsid w:val="00CE1F1B"/>
    <w:rsid w:val="00CE2BF7"/>
    <w:rsid w:val="00CE5D6A"/>
    <w:rsid w:val="00CE5ED2"/>
    <w:rsid w:val="00CE610C"/>
    <w:rsid w:val="00CE7458"/>
    <w:rsid w:val="00CE7C33"/>
    <w:rsid w:val="00CF1640"/>
    <w:rsid w:val="00CF23CB"/>
    <w:rsid w:val="00CF4B3D"/>
    <w:rsid w:val="00D03499"/>
    <w:rsid w:val="00D051C5"/>
    <w:rsid w:val="00D05269"/>
    <w:rsid w:val="00D05C1A"/>
    <w:rsid w:val="00D10082"/>
    <w:rsid w:val="00D10CBC"/>
    <w:rsid w:val="00D11F0C"/>
    <w:rsid w:val="00D13497"/>
    <w:rsid w:val="00D1395E"/>
    <w:rsid w:val="00D21C96"/>
    <w:rsid w:val="00D22752"/>
    <w:rsid w:val="00D2483C"/>
    <w:rsid w:val="00D32995"/>
    <w:rsid w:val="00D335D0"/>
    <w:rsid w:val="00D33D76"/>
    <w:rsid w:val="00D356FA"/>
    <w:rsid w:val="00D35931"/>
    <w:rsid w:val="00D37654"/>
    <w:rsid w:val="00D4004C"/>
    <w:rsid w:val="00D40D05"/>
    <w:rsid w:val="00D40EA8"/>
    <w:rsid w:val="00D421A1"/>
    <w:rsid w:val="00D42253"/>
    <w:rsid w:val="00D42281"/>
    <w:rsid w:val="00D43F60"/>
    <w:rsid w:val="00D44F3F"/>
    <w:rsid w:val="00D4559A"/>
    <w:rsid w:val="00D53F30"/>
    <w:rsid w:val="00D67EE6"/>
    <w:rsid w:val="00D70D3D"/>
    <w:rsid w:val="00D71146"/>
    <w:rsid w:val="00D75495"/>
    <w:rsid w:val="00D7614D"/>
    <w:rsid w:val="00D80AC3"/>
    <w:rsid w:val="00D85A21"/>
    <w:rsid w:val="00D86C55"/>
    <w:rsid w:val="00D95D9B"/>
    <w:rsid w:val="00D9662F"/>
    <w:rsid w:val="00D97584"/>
    <w:rsid w:val="00D97E1B"/>
    <w:rsid w:val="00DA2B1D"/>
    <w:rsid w:val="00DA7218"/>
    <w:rsid w:val="00DB19CD"/>
    <w:rsid w:val="00DB311C"/>
    <w:rsid w:val="00DB5D02"/>
    <w:rsid w:val="00DC0A0A"/>
    <w:rsid w:val="00DC263E"/>
    <w:rsid w:val="00DC5108"/>
    <w:rsid w:val="00DC7B41"/>
    <w:rsid w:val="00DD09BE"/>
    <w:rsid w:val="00DD2354"/>
    <w:rsid w:val="00DD43CB"/>
    <w:rsid w:val="00DD53CE"/>
    <w:rsid w:val="00DD6B05"/>
    <w:rsid w:val="00DE02E5"/>
    <w:rsid w:val="00DE40D4"/>
    <w:rsid w:val="00DE6DF9"/>
    <w:rsid w:val="00DF19EC"/>
    <w:rsid w:val="00DF403E"/>
    <w:rsid w:val="00DF488D"/>
    <w:rsid w:val="00DF78A5"/>
    <w:rsid w:val="00E000EE"/>
    <w:rsid w:val="00E01A83"/>
    <w:rsid w:val="00E027EB"/>
    <w:rsid w:val="00E047D9"/>
    <w:rsid w:val="00E04C42"/>
    <w:rsid w:val="00E12481"/>
    <w:rsid w:val="00E16296"/>
    <w:rsid w:val="00E203BE"/>
    <w:rsid w:val="00E20B57"/>
    <w:rsid w:val="00E220FB"/>
    <w:rsid w:val="00E22EC6"/>
    <w:rsid w:val="00E2310D"/>
    <w:rsid w:val="00E24F00"/>
    <w:rsid w:val="00E326C5"/>
    <w:rsid w:val="00E36445"/>
    <w:rsid w:val="00E43707"/>
    <w:rsid w:val="00E43FF4"/>
    <w:rsid w:val="00E45660"/>
    <w:rsid w:val="00E4742F"/>
    <w:rsid w:val="00E5050F"/>
    <w:rsid w:val="00E5563D"/>
    <w:rsid w:val="00E55B25"/>
    <w:rsid w:val="00E5758B"/>
    <w:rsid w:val="00E64488"/>
    <w:rsid w:val="00E649F0"/>
    <w:rsid w:val="00E739A2"/>
    <w:rsid w:val="00E83ECA"/>
    <w:rsid w:val="00E86628"/>
    <w:rsid w:val="00E86B0E"/>
    <w:rsid w:val="00E9081D"/>
    <w:rsid w:val="00E9527D"/>
    <w:rsid w:val="00EA2AA0"/>
    <w:rsid w:val="00EA2CC5"/>
    <w:rsid w:val="00EA2F4A"/>
    <w:rsid w:val="00EA5746"/>
    <w:rsid w:val="00EA5F84"/>
    <w:rsid w:val="00EB2974"/>
    <w:rsid w:val="00EB60FE"/>
    <w:rsid w:val="00EB619B"/>
    <w:rsid w:val="00EB7A17"/>
    <w:rsid w:val="00EB7AA9"/>
    <w:rsid w:val="00EC3B96"/>
    <w:rsid w:val="00EC49BF"/>
    <w:rsid w:val="00EC5E4C"/>
    <w:rsid w:val="00ED1AF9"/>
    <w:rsid w:val="00ED348C"/>
    <w:rsid w:val="00ED6A9C"/>
    <w:rsid w:val="00EE1EAB"/>
    <w:rsid w:val="00EE35A2"/>
    <w:rsid w:val="00EE5369"/>
    <w:rsid w:val="00EE640D"/>
    <w:rsid w:val="00EF1340"/>
    <w:rsid w:val="00EF6D73"/>
    <w:rsid w:val="00EF7DEC"/>
    <w:rsid w:val="00F047BE"/>
    <w:rsid w:val="00F10875"/>
    <w:rsid w:val="00F116AB"/>
    <w:rsid w:val="00F11C02"/>
    <w:rsid w:val="00F20451"/>
    <w:rsid w:val="00F20E02"/>
    <w:rsid w:val="00F214B0"/>
    <w:rsid w:val="00F22FC0"/>
    <w:rsid w:val="00F2340F"/>
    <w:rsid w:val="00F261C7"/>
    <w:rsid w:val="00F26C64"/>
    <w:rsid w:val="00F301E4"/>
    <w:rsid w:val="00F3212E"/>
    <w:rsid w:val="00F32222"/>
    <w:rsid w:val="00F3507E"/>
    <w:rsid w:val="00F355F7"/>
    <w:rsid w:val="00F35C0F"/>
    <w:rsid w:val="00F3631C"/>
    <w:rsid w:val="00F3717E"/>
    <w:rsid w:val="00F40E46"/>
    <w:rsid w:val="00F432D2"/>
    <w:rsid w:val="00F453D1"/>
    <w:rsid w:val="00F45B4F"/>
    <w:rsid w:val="00F554E8"/>
    <w:rsid w:val="00F5662F"/>
    <w:rsid w:val="00F57080"/>
    <w:rsid w:val="00F61DB5"/>
    <w:rsid w:val="00F70DFA"/>
    <w:rsid w:val="00F71C1D"/>
    <w:rsid w:val="00F72AA5"/>
    <w:rsid w:val="00F757F4"/>
    <w:rsid w:val="00F75A15"/>
    <w:rsid w:val="00F75C0A"/>
    <w:rsid w:val="00F83B5A"/>
    <w:rsid w:val="00F83F2B"/>
    <w:rsid w:val="00F86F23"/>
    <w:rsid w:val="00F903C2"/>
    <w:rsid w:val="00F90A03"/>
    <w:rsid w:val="00F912B5"/>
    <w:rsid w:val="00F918B7"/>
    <w:rsid w:val="00F91EF3"/>
    <w:rsid w:val="00F963BF"/>
    <w:rsid w:val="00FA0383"/>
    <w:rsid w:val="00FA0808"/>
    <w:rsid w:val="00FA3EFC"/>
    <w:rsid w:val="00FA68E1"/>
    <w:rsid w:val="00FB0B10"/>
    <w:rsid w:val="00FC205F"/>
    <w:rsid w:val="00FC5A9D"/>
    <w:rsid w:val="00FD006B"/>
    <w:rsid w:val="00FD0BDC"/>
    <w:rsid w:val="00FD3816"/>
    <w:rsid w:val="00FD4AA8"/>
    <w:rsid w:val="00FE1C43"/>
    <w:rsid w:val="00FE44C8"/>
    <w:rsid w:val="00FE69A3"/>
    <w:rsid w:val="00FF0862"/>
    <w:rsid w:val="00FF14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date"/>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7BA"/>
  </w:style>
  <w:style w:type="paragraph" w:styleId="Heading1">
    <w:name w:val="heading 1"/>
    <w:basedOn w:val="Normal"/>
    <w:next w:val="Normal"/>
    <w:link w:val="Heading1Char"/>
    <w:qFormat/>
    <w:rsid w:val="009E07BA"/>
    <w:pPr>
      <w:keepNext/>
      <w:jc w:val="both"/>
      <w:outlineLvl w:val="0"/>
    </w:pPr>
    <w:rPr>
      <w:b/>
      <w:sz w:val="28"/>
      <w:lang w:eastAsia="en-US"/>
    </w:rPr>
  </w:style>
  <w:style w:type="paragraph" w:styleId="Heading2">
    <w:name w:val="heading 2"/>
    <w:basedOn w:val="Normal"/>
    <w:next w:val="Normal"/>
    <w:qFormat/>
    <w:rsid w:val="009E07BA"/>
    <w:pPr>
      <w:keepNext/>
      <w:numPr>
        <w:ilvl w:val="12"/>
      </w:numPr>
      <w:ind w:left="360" w:hanging="360"/>
      <w:outlineLvl w:val="1"/>
    </w:pPr>
    <w:rPr>
      <w:b/>
      <w:sz w:val="28"/>
      <w:lang w:val="en-GB" w:eastAsia="en-US"/>
    </w:rPr>
  </w:style>
  <w:style w:type="paragraph" w:styleId="Heading3">
    <w:name w:val="heading 3"/>
    <w:basedOn w:val="Normal"/>
    <w:next w:val="Normal"/>
    <w:qFormat/>
    <w:rsid w:val="009E07BA"/>
    <w:pPr>
      <w:keepNext/>
      <w:outlineLvl w:val="2"/>
    </w:pPr>
    <w:rPr>
      <w:b/>
      <w:sz w:val="28"/>
      <w:lang w:val="en-GB" w:eastAsia="en-US"/>
    </w:rPr>
  </w:style>
  <w:style w:type="paragraph" w:styleId="Heading4">
    <w:name w:val="heading 4"/>
    <w:basedOn w:val="Normal"/>
    <w:next w:val="Normal"/>
    <w:qFormat/>
    <w:rsid w:val="009E07BA"/>
    <w:pPr>
      <w:keepNext/>
      <w:numPr>
        <w:ilvl w:val="12"/>
      </w:numPr>
      <w:spacing w:after="60"/>
      <w:ind w:left="706"/>
      <w:jc w:val="both"/>
      <w:outlineLvl w:val="3"/>
    </w:pPr>
    <w:rPr>
      <w:b/>
      <w:sz w:val="24"/>
    </w:rPr>
  </w:style>
  <w:style w:type="paragraph" w:styleId="Heading5">
    <w:name w:val="heading 5"/>
    <w:basedOn w:val="Normal"/>
    <w:next w:val="Normal"/>
    <w:qFormat/>
    <w:rsid w:val="009E07BA"/>
    <w:pPr>
      <w:keepNext/>
      <w:ind w:left="709"/>
      <w:outlineLvl w:val="4"/>
    </w:pPr>
    <w:rPr>
      <w:b/>
      <w:sz w:val="24"/>
    </w:rPr>
  </w:style>
  <w:style w:type="paragraph" w:styleId="Heading6">
    <w:name w:val="heading 6"/>
    <w:basedOn w:val="Normal"/>
    <w:next w:val="Normal"/>
    <w:qFormat/>
    <w:rsid w:val="009E07BA"/>
    <w:pPr>
      <w:keepNext/>
      <w:outlineLvl w:val="5"/>
    </w:pPr>
    <w:rPr>
      <w:sz w:val="22"/>
    </w:rPr>
  </w:style>
  <w:style w:type="paragraph" w:styleId="Heading7">
    <w:name w:val="heading 7"/>
    <w:basedOn w:val="Normal"/>
    <w:next w:val="Normal"/>
    <w:qFormat/>
    <w:rsid w:val="009E07BA"/>
    <w:pPr>
      <w:keepNext/>
      <w:outlineLvl w:val="6"/>
    </w:pPr>
    <w:rPr>
      <w:b/>
      <w:sz w:val="24"/>
    </w:rPr>
  </w:style>
  <w:style w:type="paragraph" w:styleId="Heading8">
    <w:name w:val="heading 8"/>
    <w:basedOn w:val="Normal"/>
    <w:next w:val="Normal"/>
    <w:qFormat/>
    <w:rsid w:val="009E07BA"/>
    <w:pPr>
      <w:keepNext/>
      <w:pBdr>
        <w:top w:val="single" w:sz="6" w:space="1" w:color="auto"/>
        <w:left w:val="single" w:sz="6" w:space="1" w:color="auto"/>
        <w:bottom w:val="single" w:sz="6" w:space="1" w:color="auto"/>
        <w:right w:val="single" w:sz="6" w:space="1" w:color="auto"/>
      </w:pBdr>
      <w:shd w:val="pct5" w:color="auto" w:fill="FFFFFF"/>
      <w:spacing w:after="480"/>
      <w:jc w:val="center"/>
      <w:outlineLvl w:val="7"/>
    </w:pPr>
    <w:rPr>
      <w:rFonts w:ascii="Arial" w:hAnsi="Arial"/>
      <w:b/>
      <w:sz w:val="33"/>
    </w:rPr>
  </w:style>
  <w:style w:type="paragraph" w:styleId="Heading9">
    <w:name w:val="heading 9"/>
    <w:basedOn w:val="Normal"/>
    <w:next w:val="Normal"/>
    <w:qFormat/>
    <w:rsid w:val="009E07BA"/>
    <w:pPr>
      <w:keepNext/>
      <w:keepLines/>
      <w:tabs>
        <w:tab w:val="left" w:pos="709"/>
      </w:tabs>
      <w:spacing w:after="240"/>
      <w:jc w:val="both"/>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E07BA"/>
    <w:pPr>
      <w:keepNext/>
      <w:keepLines/>
      <w:spacing w:after="60"/>
      <w:jc w:val="both"/>
    </w:pPr>
    <w:rPr>
      <w:sz w:val="24"/>
      <w:lang w:eastAsia="en-US"/>
    </w:rPr>
  </w:style>
  <w:style w:type="paragraph" w:styleId="Header">
    <w:name w:val="header"/>
    <w:basedOn w:val="Normal"/>
    <w:link w:val="HeaderChar"/>
    <w:rsid w:val="009E07BA"/>
    <w:pPr>
      <w:tabs>
        <w:tab w:val="center" w:pos="4153"/>
        <w:tab w:val="right" w:pos="8306"/>
      </w:tabs>
    </w:pPr>
  </w:style>
  <w:style w:type="paragraph" w:styleId="BodyText3">
    <w:name w:val="Body Text 3"/>
    <w:basedOn w:val="Normal"/>
    <w:rsid w:val="009E07BA"/>
    <w:pPr>
      <w:keepNext/>
      <w:keepLines/>
    </w:pPr>
    <w:rPr>
      <w:b/>
      <w:sz w:val="24"/>
      <w:lang w:eastAsia="en-US"/>
    </w:rPr>
  </w:style>
  <w:style w:type="paragraph" w:styleId="Footer">
    <w:name w:val="footer"/>
    <w:basedOn w:val="Normal"/>
    <w:link w:val="FooterChar"/>
    <w:uiPriority w:val="99"/>
    <w:rsid w:val="009E07BA"/>
    <w:pPr>
      <w:tabs>
        <w:tab w:val="center" w:pos="4153"/>
        <w:tab w:val="right" w:pos="8306"/>
      </w:tabs>
    </w:pPr>
    <w:rPr>
      <w:sz w:val="24"/>
      <w:lang w:eastAsia="en-US"/>
    </w:rPr>
  </w:style>
  <w:style w:type="paragraph" w:styleId="BodyText2">
    <w:name w:val="Body Text 2"/>
    <w:basedOn w:val="Normal"/>
    <w:rsid w:val="009E07BA"/>
    <w:pPr>
      <w:keepNext/>
      <w:keepLines/>
      <w:spacing w:after="240"/>
      <w:jc w:val="both"/>
    </w:pPr>
  </w:style>
  <w:style w:type="paragraph" w:styleId="BodyTextIndent3">
    <w:name w:val="Body Text Indent 3"/>
    <w:basedOn w:val="Normal"/>
    <w:rsid w:val="009E07BA"/>
    <w:pPr>
      <w:keepNext/>
      <w:keepLines/>
      <w:tabs>
        <w:tab w:val="left" w:pos="709"/>
      </w:tabs>
      <w:spacing w:after="60"/>
      <w:ind w:left="706" w:hanging="706"/>
      <w:jc w:val="both"/>
    </w:pPr>
    <w:rPr>
      <w:sz w:val="24"/>
      <w:lang w:eastAsia="en-US"/>
    </w:rPr>
  </w:style>
  <w:style w:type="paragraph" w:styleId="BodyTextIndent">
    <w:name w:val="Body Text Indent"/>
    <w:basedOn w:val="Normal"/>
    <w:rsid w:val="009E07BA"/>
    <w:pPr>
      <w:numPr>
        <w:ilvl w:val="12"/>
      </w:numPr>
      <w:spacing w:before="240"/>
      <w:ind w:left="709"/>
      <w:jc w:val="both"/>
    </w:pPr>
    <w:rPr>
      <w:sz w:val="24"/>
      <w:lang w:eastAsia="en-US"/>
    </w:rPr>
  </w:style>
  <w:style w:type="paragraph" w:styleId="BodyTextIndent2">
    <w:name w:val="Body Text Indent 2"/>
    <w:basedOn w:val="Normal"/>
    <w:rsid w:val="009E07BA"/>
    <w:pPr>
      <w:numPr>
        <w:ilvl w:val="12"/>
      </w:numPr>
      <w:ind w:left="709"/>
    </w:pPr>
    <w:rPr>
      <w:sz w:val="24"/>
      <w:lang w:eastAsia="en-US"/>
    </w:rPr>
  </w:style>
  <w:style w:type="character" w:styleId="PageNumber">
    <w:name w:val="page number"/>
    <w:basedOn w:val="DefaultParagraphFont"/>
    <w:rsid w:val="009E07BA"/>
  </w:style>
  <w:style w:type="paragraph" w:styleId="TOC1">
    <w:name w:val="toc 1"/>
    <w:basedOn w:val="Normal"/>
    <w:next w:val="Normal"/>
    <w:autoRedefine/>
    <w:uiPriority w:val="39"/>
    <w:rsid w:val="00A23DBD"/>
    <w:pPr>
      <w:tabs>
        <w:tab w:val="left" w:pos="540"/>
        <w:tab w:val="left" w:pos="1080"/>
        <w:tab w:val="right" w:leader="dot" w:pos="9345"/>
      </w:tabs>
    </w:pPr>
    <w:rPr>
      <w:noProof/>
      <w:sz w:val="24"/>
      <w:szCs w:val="24"/>
    </w:rPr>
  </w:style>
  <w:style w:type="paragraph" w:styleId="TOC2">
    <w:name w:val="toc 2"/>
    <w:basedOn w:val="Normal"/>
    <w:next w:val="Normal"/>
    <w:autoRedefine/>
    <w:semiHidden/>
    <w:rsid w:val="009941A8"/>
    <w:pPr>
      <w:tabs>
        <w:tab w:val="left" w:pos="567"/>
        <w:tab w:val="left" w:pos="1440"/>
        <w:tab w:val="right" w:leader="dot" w:pos="9356"/>
      </w:tabs>
      <w:spacing w:after="240"/>
    </w:pPr>
    <w:rPr>
      <w:noProof/>
    </w:rPr>
  </w:style>
  <w:style w:type="paragraph" w:styleId="BalloonText">
    <w:name w:val="Balloon Text"/>
    <w:basedOn w:val="Normal"/>
    <w:semiHidden/>
    <w:rsid w:val="00190303"/>
    <w:rPr>
      <w:rFonts w:ascii="Tahoma" w:hAnsi="Tahoma" w:cs="Tahoma"/>
      <w:sz w:val="16"/>
      <w:szCs w:val="16"/>
    </w:rPr>
  </w:style>
  <w:style w:type="table" w:styleId="TableGrid">
    <w:name w:val="Table Grid"/>
    <w:basedOn w:val="TableNormal"/>
    <w:rsid w:val="00D421A1"/>
    <w:pPr>
      <w:tabs>
        <w:tab w:val="left" w:pos="567"/>
        <w:tab w:val="left" w:pos="851"/>
        <w:tab w:val="left" w:pos="1134"/>
        <w:tab w:val="left" w:pos="1418"/>
      </w:tabs>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587B"/>
    <w:pPr>
      <w:ind w:left="720"/>
      <w:contextualSpacing/>
    </w:pPr>
  </w:style>
  <w:style w:type="character" w:customStyle="1" w:styleId="Heading1Char">
    <w:name w:val="Heading 1 Char"/>
    <w:basedOn w:val="DefaultParagraphFont"/>
    <w:link w:val="Heading1"/>
    <w:rsid w:val="005136CD"/>
    <w:rPr>
      <w:b/>
      <w:sz w:val="28"/>
      <w:lang w:eastAsia="en-US"/>
    </w:rPr>
  </w:style>
  <w:style w:type="character" w:customStyle="1" w:styleId="BodyTextChar">
    <w:name w:val="Body Text Char"/>
    <w:basedOn w:val="DefaultParagraphFont"/>
    <w:link w:val="BodyText"/>
    <w:rsid w:val="005963C8"/>
    <w:rPr>
      <w:sz w:val="24"/>
      <w:lang w:eastAsia="en-US"/>
    </w:rPr>
  </w:style>
  <w:style w:type="character" w:customStyle="1" w:styleId="FooterChar">
    <w:name w:val="Footer Char"/>
    <w:basedOn w:val="DefaultParagraphFont"/>
    <w:link w:val="Footer"/>
    <w:uiPriority w:val="99"/>
    <w:rsid w:val="0099324F"/>
    <w:rPr>
      <w:sz w:val="24"/>
      <w:lang w:eastAsia="en-US"/>
    </w:rPr>
  </w:style>
  <w:style w:type="character" w:customStyle="1" w:styleId="HeaderChar">
    <w:name w:val="Header Char"/>
    <w:basedOn w:val="DefaultParagraphFont"/>
    <w:link w:val="Header"/>
    <w:uiPriority w:val="99"/>
    <w:rsid w:val="009932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7BA"/>
  </w:style>
  <w:style w:type="paragraph" w:styleId="Heading1">
    <w:name w:val="heading 1"/>
    <w:basedOn w:val="Normal"/>
    <w:next w:val="Normal"/>
    <w:link w:val="Heading1Char"/>
    <w:qFormat/>
    <w:rsid w:val="009E07BA"/>
    <w:pPr>
      <w:keepNext/>
      <w:jc w:val="both"/>
      <w:outlineLvl w:val="0"/>
    </w:pPr>
    <w:rPr>
      <w:b/>
      <w:sz w:val="28"/>
      <w:lang w:eastAsia="en-US"/>
    </w:rPr>
  </w:style>
  <w:style w:type="paragraph" w:styleId="Heading2">
    <w:name w:val="heading 2"/>
    <w:basedOn w:val="Normal"/>
    <w:next w:val="Normal"/>
    <w:qFormat/>
    <w:rsid w:val="009E07BA"/>
    <w:pPr>
      <w:keepNext/>
      <w:numPr>
        <w:ilvl w:val="12"/>
      </w:numPr>
      <w:ind w:left="360" w:hanging="360"/>
      <w:outlineLvl w:val="1"/>
    </w:pPr>
    <w:rPr>
      <w:b/>
      <w:sz w:val="28"/>
      <w:lang w:val="en-GB" w:eastAsia="en-US"/>
    </w:rPr>
  </w:style>
  <w:style w:type="paragraph" w:styleId="Heading3">
    <w:name w:val="heading 3"/>
    <w:basedOn w:val="Normal"/>
    <w:next w:val="Normal"/>
    <w:qFormat/>
    <w:rsid w:val="009E07BA"/>
    <w:pPr>
      <w:keepNext/>
      <w:outlineLvl w:val="2"/>
    </w:pPr>
    <w:rPr>
      <w:b/>
      <w:sz w:val="28"/>
      <w:lang w:val="en-GB" w:eastAsia="en-US"/>
    </w:rPr>
  </w:style>
  <w:style w:type="paragraph" w:styleId="Heading4">
    <w:name w:val="heading 4"/>
    <w:basedOn w:val="Normal"/>
    <w:next w:val="Normal"/>
    <w:qFormat/>
    <w:rsid w:val="009E07BA"/>
    <w:pPr>
      <w:keepNext/>
      <w:numPr>
        <w:ilvl w:val="12"/>
      </w:numPr>
      <w:spacing w:after="60"/>
      <w:ind w:left="706"/>
      <w:jc w:val="both"/>
      <w:outlineLvl w:val="3"/>
    </w:pPr>
    <w:rPr>
      <w:b/>
      <w:sz w:val="24"/>
    </w:rPr>
  </w:style>
  <w:style w:type="paragraph" w:styleId="Heading5">
    <w:name w:val="heading 5"/>
    <w:basedOn w:val="Normal"/>
    <w:next w:val="Normal"/>
    <w:qFormat/>
    <w:rsid w:val="009E07BA"/>
    <w:pPr>
      <w:keepNext/>
      <w:ind w:left="709"/>
      <w:outlineLvl w:val="4"/>
    </w:pPr>
    <w:rPr>
      <w:b/>
      <w:sz w:val="24"/>
    </w:rPr>
  </w:style>
  <w:style w:type="paragraph" w:styleId="Heading6">
    <w:name w:val="heading 6"/>
    <w:basedOn w:val="Normal"/>
    <w:next w:val="Normal"/>
    <w:qFormat/>
    <w:rsid w:val="009E07BA"/>
    <w:pPr>
      <w:keepNext/>
      <w:outlineLvl w:val="5"/>
    </w:pPr>
    <w:rPr>
      <w:sz w:val="22"/>
    </w:rPr>
  </w:style>
  <w:style w:type="paragraph" w:styleId="Heading7">
    <w:name w:val="heading 7"/>
    <w:basedOn w:val="Normal"/>
    <w:next w:val="Normal"/>
    <w:qFormat/>
    <w:rsid w:val="009E07BA"/>
    <w:pPr>
      <w:keepNext/>
      <w:outlineLvl w:val="6"/>
    </w:pPr>
    <w:rPr>
      <w:b/>
      <w:sz w:val="24"/>
    </w:rPr>
  </w:style>
  <w:style w:type="paragraph" w:styleId="Heading8">
    <w:name w:val="heading 8"/>
    <w:basedOn w:val="Normal"/>
    <w:next w:val="Normal"/>
    <w:qFormat/>
    <w:rsid w:val="009E07BA"/>
    <w:pPr>
      <w:keepNext/>
      <w:pBdr>
        <w:top w:val="single" w:sz="6" w:space="1" w:color="auto"/>
        <w:left w:val="single" w:sz="6" w:space="1" w:color="auto"/>
        <w:bottom w:val="single" w:sz="6" w:space="1" w:color="auto"/>
        <w:right w:val="single" w:sz="6" w:space="1" w:color="auto"/>
      </w:pBdr>
      <w:shd w:val="pct5" w:color="auto" w:fill="FFFFFF"/>
      <w:spacing w:after="480"/>
      <w:jc w:val="center"/>
      <w:outlineLvl w:val="7"/>
    </w:pPr>
    <w:rPr>
      <w:rFonts w:ascii="Arial" w:hAnsi="Arial"/>
      <w:b/>
      <w:sz w:val="33"/>
    </w:rPr>
  </w:style>
  <w:style w:type="paragraph" w:styleId="Heading9">
    <w:name w:val="heading 9"/>
    <w:basedOn w:val="Normal"/>
    <w:next w:val="Normal"/>
    <w:qFormat/>
    <w:rsid w:val="009E07BA"/>
    <w:pPr>
      <w:keepNext/>
      <w:keepLines/>
      <w:tabs>
        <w:tab w:val="left" w:pos="709"/>
      </w:tabs>
      <w:spacing w:after="240"/>
      <w:jc w:val="both"/>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E07BA"/>
    <w:pPr>
      <w:keepNext/>
      <w:keepLines/>
      <w:spacing w:after="60"/>
      <w:jc w:val="both"/>
    </w:pPr>
    <w:rPr>
      <w:sz w:val="24"/>
      <w:lang w:eastAsia="en-US"/>
    </w:rPr>
  </w:style>
  <w:style w:type="paragraph" w:styleId="Header">
    <w:name w:val="header"/>
    <w:basedOn w:val="Normal"/>
    <w:link w:val="HeaderChar"/>
    <w:rsid w:val="009E07BA"/>
    <w:pPr>
      <w:tabs>
        <w:tab w:val="center" w:pos="4153"/>
        <w:tab w:val="right" w:pos="8306"/>
      </w:tabs>
    </w:pPr>
  </w:style>
  <w:style w:type="paragraph" w:styleId="BodyText3">
    <w:name w:val="Body Text 3"/>
    <w:basedOn w:val="Normal"/>
    <w:rsid w:val="009E07BA"/>
    <w:pPr>
      <w:keepNext/>
      <w:keepLines/>
    </w:pPr>
    <w:rPr>
      <w:b/>
      <w:sz w:val="24"/>
      <w:lang w:eastAsia="en-US"/>
    </w:rPr>
  </w:style>
  <w:style w:type="paragraph" w:styleId="Footer">
    <w:name w:val="footer"/>
    <w:basedOn w:val="Normal"/>
    <w:link w:val="FooterChar"/>
    <w:uiPriority w:val="99"/>
    <w:rsid w:val="009E07BA"/>
    <w:pPr>
      <w:tabs>
        <w:tab w:val="center" w:pos="4153"/>
        <w:tab w:val="right" w:pos="8306"/>
      </w:tabs>
    </w:pPr>
    <w:rPr>
      <w:sz w:val="24"/>
      <w:lang w:eastAsia="en-US"/>
    </w:rPr>
  </w:style>
  <w:style w:type="paragraph" w:styleId="BodyText2">
    <w:name w:val="Body Text 2"/>
    <w:basedOn w:val="Normal"/>
    <w:rsid w:val="009E07BA"/>
    <w:pPr>
      <w:keepNext/>
      <w:keepLines/>
      <w:spacing w:after="240"/>
      <w:jc w:val="both"/>
    </w:pPr>
  </w:style>
  <w:style w:type="paragraph" w:styleId="BodyTextIndent3">
    <w:name w:val="Body Text Indent 3"/>
    <w:basedOn w:val="Normal"/>
    <w:rsid w:val="009E07BA"/>
    <w:pPr>
      <w:keepNext/>
      <w:keepLines/>
      <w:tabs>
        <w:tab w:val="left" w:pos="709"/>
      </w:tabs>
      <w:spacing w:after="60"/>
      <w:ind w:left="706" w:hanging="706"/>
      <w:jc w:val="both"/>
    </w:pPr>
    <w:rPr>
      <w:sz w:val="24"/>
      <w:lang w:eastAsia="en-US"/>
    </w:rPr>
  </w:style>
  <w:style w:type="paragraph" w:styleId="BodyTextIndent">
    <w:name w:val="Body Text Indent"/>
    <w:basedOn w:val="Normal"/>
    <w:rsid w:val="009E07BA"/>
    <w:pPr>
      <w:numPr>
        <w:ilvl w:val="12"/>
      </w:numPr>
      <w:spacing w:before="240"/>
      <w:ind w:left="709"/>
      <w:jc w:val="both"/>
    </w:pPr>
    <w:rPr>
      <w:sz w:val="24"/>
      <w:lang w:eastAsia="en-US"/>
    </w:rPr>
  </w:style>
  <w:style w:type="paragraph" w:styleId="BodyTextIndent2">
    <w:name w:val="Body Text Indent 2"/>
    <w:basedOn w:val="Normal"/>
    <w:rsid w:val="009E07BA"/>
    <w:pPr>
      <w:numPr>
        <w:ilvl w:val="12"/>
      </w:numPr>
      <w:ind w:left="709"/>
    </w:pPr>
    <w:rPr>
      <w:sz w:val="24"/>
      <w:lang w:eastAsia="en-US"/>
    </w:rPr>
  </w:style>
  <w:style w:type="character" w:styleId="PageNumber">
    <w:name w:val="page number"/>
    <w:basedOn w:val="DefaultParagraphFont"/>
    <w:rsid w:val="009E07BA"/>
  </w:style>
  <w:style w:type="paragraph" w:styleId="TOC1">
    <w:name w:val="toc 1"/>
    <w:basedOn w:val="Normal"/>
    <w:next w:val="Normal"/>
    <w:autoRedefine/>
    <w:uiPriority w:val="39"/>
    <w:rsid w:val="00A23DBD"/>
    <w:pPr>
      <w:tabs>
        <w:tab w:val="left" w:pos="540"/>
        <w:tab w:val="left" w:pos="1080"/>
        <w:tab w:val="right" w:leader="dot" w:pos="9345"/>
      </w:tabs>
    </w:pPr>
    <w:rPr>
      <w:noProof/>
      <w:sz w:val="24"/>
      <w:szCs w:val="24"/>
    </w:rPr>
  </w:style>
  <w:style w:type="paragraph" w:styleId="TOC2">
    <w:name w:val="toc 2"/>
    <w:basedOn w:val="Normal"/>
    <w:next w:val="Normal"/>
    <w:autoRedefine/>
    <w:semiHidden/>
    <w:rsid w:val="009941A8"/>
    <w:pPr>
      <w:tabs>
        <w:tab w:val="left" w:pos="567"/>
        <w:tab w:val="left" w:pos="1440"/>
        <w:tab w:val="right" w:leader="dot" w:pos="9356"/>
      </w:tabs>
      <w:spacing w:after="240"/>
    </w:pPr>
    <w:rPr>
      <w:noProof/>
    </w:rPr>
  </w:style>
  <w:style w:type="paragraph" w:styleId="BalloonText">
    <w:name w:val="Balloon Text"/>
    <w:basedOn w:val="Normal"/>
    <w:semiHidden/>
    <w:rsid w:val="00190303"/>
    <w:rPr>
      <w:rFonts w:ascii="Tahoma" w:hAnsi="Tahoma" w:cs="Tahoma"/>
      <w:sz w:val="16"/>
      <w:szCs w:val="16"/>
    </w:rPr>
  </w:style>
  <w:style w:type="table" w:styleId="TableGrid">
    <w:name w:val="Table Grid"/>
    <w:basedOn w:val="TableNormal"/>
    <w:rsid w:val="00D421A1"/>
    <w:pPr>
      <w:tabs>
        <w:tab w:val="left" w:pos="567"/>
        <w:tab w:val="left" w:pos="851"/>
        <w:tab w:val="left" w:pos="1134"/>
        <w:tab w:val="left" w:pos="1418"/>
      </w:tabs>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587B"/>
    <w:pPr>
      <w:ind w:left="720"/>
      <w:contextualSpacing/>
    </w:pPr>
  </w:style>
  <w:style w:type="character" w:customStyle="1" w:styleId="Heading1Char">
    <w:name w:val="Heading 1 Char"/>
    <w:basedOn w:val="DefaultParagraphFont"/>
    <w:link w:val="Heading1"/>
    <w:rsid w:val="005136CD"/>
    <w:rPr>
      <w:b/>
      <w:sz w:val="28"/>
      <w:lang w:eastAsia="en-US"/>
    </w:rPr>
  </w:style>
  <w:style w:type="character" w:customStyle="1" w:styleId="BodyTextChar">
    <w:name w:val="Body Text Char"/>
    <w:basedOn w:val="DefaultParagraphFont"/>
    <w:link w:val="BodyText"/>
    <w:rsid w:val="005963C8"/>
    <w:rPr>
      <w:sz w:val="24"/>
      <w:lang w:eastAsia="en-US"/>
    </w:rPr>
  </w:style>
  <w:style w:type="character" w:customStyle="1" w:styleId="FooterChar">
    <w:name w:val="Footer Char"/>
    <w:basedOn w:val="DefaultParagraphFont"/>
    <w:link w:val="Footer"/>
    <w:uiPriority w:val="99"/>
    <w:rsid w:val="0099324F"/>
    <w:rPr>
      <w:sz w:val="24"/>
      <w:lang w:eastAsia="en-US"/>
    </w:rPr>
  </w:style>
  <w:style w:type="character" w:customStyle="1" w:styleId="HeaderChar">
    <w:name w:val="Header Char"/>
    <w:basedOn w:val="DefaultParagraphFont"/>
    <w:link w:val="Header"/>
    <w:uiPriority w:val="99"/>
    <w:rsid w:val="00993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11635">
      <w:bodyDiv w:val="1"/>
      <w:marLeft w:val="0"/>
      <w:marRight w:val="0"/>
      <w:marTop w:val="0"/>
      <w:marBottom w:val="0"/>
      <w:divBdr>
        <w:top w:val="none" w:sz="0" w:space="0" w:color="auto"/>
        <w:left w:val="none" w:sz="0" w:space="0" w:color="auto"/>
        <w:bottom w:val="none" w:sz="0" w:space="0" w:color="auto"/>
        <w:right w:val="none" w:sz="0" w:space="0" w:color="auto"/>
      </w:divBdr>
    </w:div>
    <w:div w:id="43139921">
      <w:bodyDiv w:val="1"/>
      <w:marLeft w:val="0"/>
      <w:marRight w:val="0"/>
      <w:marTop w:val="0"/>
      <w:marBottom w:val="0"/>
      <w:divBdr>
        <w:top w:val="none" w:sz="0" w:space="0" w:color="auto"/>
        <w:left w:val="none" w:sz="0" w:space="0" w:color="auto"/>
        <w:bottom w:val="none" w:sz="0" w:space="0" w:color="auto"/>
        <w:right w:val="none" w:sz="0" w:space="0" w:color="auto"/>
      </w:divBdr>
    </w:div>
    <w:div w:id="78409510">
      <w:bodyDiv w:val="1"/>
      <w:marLeft w:val="0"/>
      <w:marRight w:val="0"/>
      <w:marTop w:val="0"/>
      <w:marBottom w:val="0"/>
      <w:divBdr>
        <w:top w:val="none" w:sz="0" w:space="0" w:color="auto"/>
        <w:left w:val="none" w:sz="0" w:space="0" w:color="auto"/>
        <w:bottom w:val="none" w:sz="0" w:space="0" w:color="auto"/>
        <w:right w:val="none" w:sz="0" w:space="0" w:color="auto"/>
      </w:divBdr>
    </w:div>
    <w:div w:id="79068386">
      <w:bodyDiv w:val="1"/>
      <w:marLeft w:val="0"/>
      <w:marRight w:val="0"/>
      <w:marTop w:val="0"/>
      <w:marBottom w:val="0"/>
      <w:divBdr>
        <w:top w:val="none" w:sz="0" w:space="0" w:color="auto"/>
        <w:left w:val="none" w:sz="0" w:space="0" w:color="auto"/>
        <w:bottom w:val="none" w:sz="0" w:space="0" w:color="auto"/>
        <w:right w:val="none" w:sz="0" w:space="0" w:color="auto"/>
      </w:divBdr>
    </w:div>
    <w:div w:id="171191724">
      <w:bodyDiv w:val="1"/>
      <w:marLeft w:val="0"/>
      <w:marRight w:val="0"/>
      <w:marTop w:val="0"/>
      <w:marBottom w:val="0"/>
      <w:divBdr>
        <w:top w:val="none" w:sz="0" w:space="0" w:color="auto"/>
        <w:left w:val="none" w:sz="0" w:space="0" w:color="auto"/>
        <w:bottom w:val="none" w:sz="0" w:space="0" w:color="auto"/>
        <w:right w:val="none" w:sz="0" w:space="0" w:color="auto"/>
      </w:divBdr>
    </w:div>
    <w:div w:id="201213284">
      <w:bodyDiv w:val="1"/>
      <w:marLeft w:val="0"/>
      <w:marRight w:val="0"/>
      <w:marTop w:val="0"/>
      <w:marBottom w:val="0"/>
      <w:divBdr>
        <w:top w:val="none" w:sz="0" w:space="0" w:color="auto"/>
        <w:left w:val="none" w:sz="0" w:space="0" w:color="auto"/>
        <w:bottom w:val="none" w:sz="0" w:space="0" w:color="auto"/>
        <w:right w:val="none" w:sz="0" w:space="0" w:color="auto"/>
      </w:divBdr>
    </w:div>
    <w:div w:id="241178964">
      <w:bodyDiv w:val="1"/>
      <w:marLeft w:val="0"/>
      <w:marRight w:val="0"/>
      <w:marTop w:val="0"/>
      <w:marBottom w:val="0"/>
      <w:divBdr>
        <w:top w:val="none" w:sz="0" w:space="0" w:color="auto"/>
        <w:left w:val="none" w:sz="0" w:space="0" w:color="auto"/>
        <w:bottom w:val="none" w:sz="0" w:space="0" w:color="auto"/>
        <w:right w:val="none" w:sz="0" w:space="0" w:color="auto"/>
      </w:divBdr>
    </w:div>
    <w:div w:id="292755209">
      <w:bodyDiv w:val="1"/>
      <w:marLeft w:val="0"/>
      <w:marRight w:val="0"/>
      <w:marTop w:val="0"/>
      <w:marBottom w:val="0"/>
      <w:divBdr>
        <w:top w:val="none" w:sz="0" w:space="0" w:color="auto"/>
        <w:left w:val="none" w:sz="0" w:space="0" w:color="auto"/>
        <w:bottom w:val="none" w:sz="0" w:space="0" w:color="auto"/>
        <w:right w:val="none" w:sz="0" w:space="0" w:color="auto"/>
      </w:divBdr>
    </w:div>
    <w:div w:id="353533143">
      <w:bodyDiv w:val="1"/>
      <w:marLeft w:val="0"/>
      <w:marRight w:val="0"/>
      <w:marTop w:val="0"/>
      <w:marBottom w:val="0"/>
      <w:divBdr>
        <w:top w:val="none" w:sz="0" w:space="0" w:color="auto"/>
        <w:left w:val="none" w:sz="0" w:space="0" w:color="auto"/>
        <w:bottom w:val="none" w:sz="0" w:space="0" w:color="auto"/>
        <w:right w:val="none" w:sz="0" w:space="0" w:color="auto"/>
      </w:divBdr>
    </w:div>
    <w:div w:id="368841180">
      <w:bodyDiv w:val="1"/>
      <w:marLeft w:val="0"/>
      <w:marRight w:val="0"/>
      <w:marTop w:val="0"/>
      <w:marBottom w:val="0"/>
      <w:divBdr>
        <w:top w:val="none" w:sz="0" w:space="0" w:color="auto"/>
        <w:left w:val="none" w:sz="0" w:space="0" w:color="auto"/>
        <w:bottom w:val="none" w:sz="0" w:space="0" w:color="auto"/>
        <w:right w:val="none" w:sz="0" w:space="0" w:color="auto"/>
      </w:divBdr>
    </w:div>
    <w:div w:id="388648751">
      <w:bodyDiv w:val="1"/>
      <w:marLeft w:val="0"/>
      <w:marRight w:val="0"/>
      <w:marTop w:val="0"/>
      <w:marBottom w:val="0"/>
      <w:divBdr>
        <w:top w:val="none" w:sz="0" w:space="0" w:color="auto"/>
        <w:left w:val="none" w:sz="0" w:space="0" w:color="auto"/>
        <w:bottom w:val="none" w:sz="0" w:space="0" w:color="auto"/>
        <w:right w:val="none" w:sz="0" w:space="0" w:color="auto"/>
      </w:divBdr>
    </w:div>
    <w:div w:id="426536228">
      <w:bodyDiv w:val="1"/>
      <w:marLeft w:val="0"/>
      <w:marRight w:val="0"/>
      <w:marTop w:val="0"/>
      <w:marBottom w:val="0"/>
      <w:divBdr>
        <w:top w:val="none" w:sz="0" w:space="0" w:color="auto"/>
        <w:left w:val="none" w:sz="0" w:space="0" w:color="auto"/>
        <w:bottom w:val="none" w:sz="0" w:space="0" w:color="auto"/>
        <w:right w:val="none" w:sz="0" w:space="0" w:color="auto"/>
      </w:divBdr>
    </w:div>
    <w:div w:id="503396349">
      <w:bodyDiv w:val="1"/>
      <w:marLeft w:val="0"/>
      <w:marRight w:val="0"/>
      <w:marTop w:val="0"/>
      <w:marBottom w:val="0"/>
      <w:divBdr>
        <w:top w:val="none" w:sz="0" w:space="0" w:color="auto"/>
        <w:left w:val="none" w:sz="0" w:space="0" w:color="auto"/>
        <w:bottom w:val="none" w:sz="0" w:space="0" w:color="auto"/>
        <w:right w:val="none" w:sz="0" w:space="0" w:color="auto"/>
      </w:divBdr>
    </w:div>
    <w:div w:id="572928743">
      <w:bodyDiv w:val="1"/>
      <w:marLeft w:val="0"/>
      <w:marRight w:val="0"/>
      <w:marTop w:val="0"/>
      <w:marBottom w:val="0"/>
      <w:divBdr>
        <w:top w:val="none" w:sz="0" w:space="0" w:color="auto"/>
        <w:left w:val="none" w:sz="0" w:space="0" w:color="auto"/>
        <w:bottom w:val="none" w:sz="0" w:space="0" w:color="auto"/>
        <w:right w:val="none" w:sz="0" w:space="0" w:color="auto"/>
      </w:divBdr>
    </w:div>
    <w:div w:id="582762961">
      <w:bodyDiv w:val="1"/>
      <w:marLeft w:val="0"/>
      <w:marRight w:val="0"/>
      <w:marTop w:val="0"/>
      <w:marBottom w:val="0"/>
      <w:divBdr>
        <w:top w:val="none" w:sz="0" w:space="0" w:color="auto"/>
        <w:left w:val="none" w:sz="0" w:space="0" w:color="auto"/>
        <w:bottom w:val="none" w:sz="0" w:space="0" w:color="auto"/>
        <w:right w:val="none" w:sz="0" w:space="0" w:color="auto"/>
      </w:divBdr>
    </w:div>
    <w:div w:id="590896183">
      <w:bodyDiv w:val="1"/>
      <w:marLeft w:val="0"/>
      <w:marRight w:val="0"/>
      <w:marTop w:val="0"/>
      <w:marBottom w:val="0"/>
      <w:divBdr>
        <w:top w:val="none" w:sz="0" w:space="0" w:color="auto"/>
        <w:left w:val="none" w:sz="0" w:space="0" w:color="auto"/>
        <w:bottom w:val="none" w:sz="0" w:space="0" w:color="auto"/>
        <w:right w:val="none" w:sz="0" w:space="0" w:color="auto"/>
      </w:divBdr>
    </w:div>
    <w:div w:id="603195510">
      <w:bodyDiv w:val="1"/>
      <w:marLeft w:val="0"/>
      <w:marRight w:val="0"/>
      <w:marTop w:val="0"/>
      <w:marBottom w:val="0"/>
      <w:divBdr>
        <w:top w:val="none" w:sz="0" w:space="0" w:color="auto"/>
        <w:left w:val="none" w:sz="0" w:space="0" w:color="auto"/>
        <w:bottom w:val="none" w:sz="0" w:space="0" w:color="auto"/>
        <w:right w:val="none" w:sz="0" w:space="0" w:color="auto"/>
      </w:divBdr>
    </w:div>
    <w:div w:id="625815552">
      <w:bodyDiv w:val="1"/>
      <w:marLeft w:val="0"/>
      <w:marRight w:val="0"/>
      <w:marTop w:val="0"/>
      <w:marBottom w:val="0"/>
      <w:divBdr>
        <w:top w:val="none" w:sz="0" w:space="0" w:color="auto"/>
        <w:left w:val="none" w:sz="0" w:space="0" w:color="auto"/>
        <w:bottom w:val="none" w:sz="0" w:space="0" w:color="auto"/>
        <w:right w:val="none" w:sz="0" w:space="0" w:color="auto"/>
      </w:divBdr>
    </w:div>
    <w:div w:id="665716512">
      <w:bodyDiv w:val="1"/>
      <w:marLeft w:val="0"/>
      <w:marRight w:val="0"/>
      <w:marTop w:val="0"/>
      <w:marBottom w:val="0"/>
      <w:divBdr>
        <w:top w:val="none" w:sz="0" w:space="0" w:color="auto"/>
        <w:left w:val="none" w:sz="0" w:space="0" w:color="auto"/>
        <w:bottom w:val="none" w:sz="0" w:space="0" w:color="auto"/>
        <w:right w:val="none" w:sz="0" w:space="0" w:color="auto"/>
      </w:divBdr>
    </w:div>
    <w:div w:id="911739899">
      <w:bodyDiv w:val="1"/>
      <w:marLeft w:val="0"/>
      <w:marRight w:val="0"/>
      <w:marTop w:val="0"/>
      <w:marBottom w:val="0"/>
      <w:divBdr>
        <w:top w:val="none" w:sz="0" w:space="0" w:color="auto"/>
        <w:left w:val="none" w:sz="0" w:space="0" w:color="auto"/>
        <w:bottom w:val="none" w:sz="0" w:space="0" w:color="auto"/>
        <w:right w:val="none" w:sz="0" w:space="0" w:color="auto"/>
      </w:divBdr>
    </w:div>
    <w:div w:id="952859163">
      <w:bodyDiv w:val="1"/>
      <w:marLeft w:val="0"/>
      <w:marRight w:val="0"/>
      <w:marTop w:val="0"/>
      <w:marBottom w:val="0"/>
      <w:divBdr>
        <w:top w:val="none" w:sz="0" w:space="0" w:color="auto"/>
        <w:left w:val="none" w:sz="0" w:space="0" w:color="auto"/>
        <w:bottom w:val="none" w:sz="0" w:space="0" w:color="auto"/>
        <w:right w:val="none" w:sz="0" w:space="0" w:color="auto"/>
      </w:divBdr>
    </w:div>
    <w:div w:id="963535168">
      <w:bodyDiv w:val="1"/>
      <w:marLeft w:val="0"/>
      <w:marRight w:val="0"/>
      <w:marTop w:val="0"/>
      <w:marBottom w:val="0"/>
      <w:divBdr>
        <w:top w:val="none" w:sz="0" w:space="0" w:color="auto"/>
        <w:left w:val="none" w:sz="0" w:space="0" w:color="auto"/>
        <w:bottom w:val="none" w:sz="0" w:space="0" w:color="auto"/>
        <w:right w:val="none" w:sz="0" w:space="0" w:color="auto"/>
      </w:divBdr>
    </w:div>
    <w:div w:id="1028068599">
      <w:bodyDiv w:val="1"/>
      <w:marLeft w:val="0"/>
      <w:marRight w:val="0"/>
      <w:marTop w:val="0"/>
      <w:marBottom w:val="0"/>
      <w:divBdr>
        <w:top w:val="none" w:sz="0" w:space="0" w:color="auto"/>
        <w:left w:val="none" w:sz="0" w:space="0" w:color="auto"/>
        <w:bottom w:val="none" w:sz="0" w:space="0" w:color="auto"/>
        <w:right w:val="none" w:sz="0" w:space="0" w:color="auto"/>
      </w:divBdr>
    </w:div>
    <w:div w:id="1047341159">
      <w:bodyDiv w:val="1"/>
      <w:marLeft w:val="0"/>
      <w:marRight w:val="0"/>
      <w:marTop w:val="0"/>
      <w:marBottom w:val="0"/>
      <w:divBdr>
        <w:top w:val="none" w:sz="0" w:space="0" w:color="auto"/>
        <w:left w:val="none" w:sz="0" w:space="0" w:color="auto"/>
        <w:bottom w:val="none" w:sz="0" w:space="0" w:color="auto"/>
        <w:right w:val="none" w:sz="0" w:space="0" w:color="auto"/>
      </w:divBdr>
    </w:div>
    <w:div w:id="1052775611">
      <w:bodyDiv w:val="1"/>
      <w:marLeft w:val="0"/>
      <w:marRight w:val="0"/>
      <w:marTop w:val="0"/>
      <w:marBottom w:val="0"/>
      <w:divBdr>
        <w:top w:val="none" w:sz="0" w:space="0" w:color="auto"/>
        <w:left w:val="none" w:sz="0" w:space="0" w:color="auto"/>
        <w:bottom w:val="none" w:sz="0" w:space="0" w:color="auto"/>
        <w:right w:val="none" w:sz="0" w:space="0" w:color="auto"/>
      </w:divBdr>
    </w:div>
    <w:div w:id="1068462163">
      <w:bodyDiv w:val="1"/>
      <w:marLeft w:val="0"/>
      <w:marRight w:val="0"/>
      <w:marTop w:val="0"/>
      <w:marBottom w:val="0"/>
      <w:divBdr>
        <w:top w:val="none" w:sz="0" w:space="0" w:color="auto"/>
        <w:left w:val="none" w:sz="0" w:space="0" w:color="auto"/>
        <w:bottom w:val="none" w:sz="0" w:space="0" w:color="auto"/>
        <w:right w:val="none" w:sz="0" w:space="0" w:color="auto"/>
      </w:divBdr>
    </w:div>
    <w:div w:id="1093354913">
      <w:bodyDiv w:val="1"/>
      <w:marLeft w:val="0"/>
      <w:marRight w:val="0"/>
      <w:marTop w:val="0"/>
      <w:marBottom w:val="0"/>
      <w:divBdr>
        <w:top w:val="none" w:sz="0" w:space="0" w:color="auto"/>
        <w:left w:val="none" w:sz="0" w:space="0" w:color="auto"/>
        <w:bottom w:val="none" w:sz="0" w:space="0" w:color="auto"/>
        <w:right w:val="none" w:sz="0" w:space="0" w:color="auto"/>
      </w:divBdr>
    </w:div>
    <w:div w:id="1105689053">
      <w:bodyDiv w:val="1"/>
      <w:marLeft w:val="0"/>
      <w:marRight w:val="0"/>
      <w:marTop w:val="0"/>
      <w:marBottom w:val="0"/>
      <w:divBdr>
        <w:top w:val="none" w:sz="0" w:space="0" w:color="auto"/>
        <w:left w:val="none" w:sz="0" w:space="0" w:color="auto"/>
        <w:bottom w:val="none" w:sz="0" w:space="0" w:color="auto"/>
        <w:right w:val="none" w:sz="0" w:space="0" w:color="auto"/>
      </w:divBdr>
    </w:div>
    <w:div w:id="1113671479">
      <w:bodyDiv w:val="1"/>
      <w:marLeft w:val="0"/>
      <w:marRight w:val="0"/>
      <w:marTop w:val="0"/>
      <w:marBottom w:val="0"/>
      <w:divBdr>
        <w:top w:val="none" w:sz="0" w:space="0" w:color="auto"/>
        <w:left w:val="none" w:sz="0" w:space="0" w:color="auto"/>
        <w:bottom w:val="none" w:sz="0" w:space="0" w:color="auto"/>
        <w:right w:val="none" w:sz="0" w:space="0" w:color="auto"/>
      </w:divBdr>
    </w:div>
    <w:div w:id="1157572366">
      <w:bodyDiv w:val="1"/>
      <w:marLeft w:val="0"/>
      <w:marRight w:val="0"/>
      <w:marTop w:val="0"/>
      <w:marBottom w:val="0"/>
      <w:divBdr>
        <w:top w:val="none" w:sz="0" w:space="0" w:color="auto"/>
        <w:left w:val="none" w:sz="0" w:space="0" w:color="auto"/>
        <w:bottom w:val="none" w:sz="0" w:space="0" w:color="auto"/>
        <w:right w:val="none" w:sz="0" w:space="0" w:color="auto"/>
      </w:divBdr>
    </w:div>
    <w:div w:id="1188569812">
      <w:bodyDiv w:val="1"/>
      <w:marLeft w:val="0"/>
      <w:marRight w:val="0"/>
      <w:marTop w:val="0"/>
      <w:marBottom w:val="0"/>
      <w:divBdr>
        <w:top w:val="none" w:sz="0" w:space="0" w:color="auto"/>
        <w:left w:val="none" w:sz="0" w:space="0" w:color="auto"/>
        <w:bottom w:val="none" w:sz="0" w:space="0" w:color="auto"/>
        <w:right w:val="none" w:sz="0" w:space="0" w:color="auto"/>
      </w:divBdr>
    </w:div>
    <w:div w:id="1278950413">
      <w:bodyDiv w:val="1"/>
      <w:marLeft w:val="0"/>
      <w:marRight w:val="0"/>
      <w:marTop w:val="0"/>
      <w:marBottom w:val="0"/>
      <w:divBdr>
        <w:top w:val="none" w:sz="0" w:space="0" w:color="auto"/>
        <w:left w:val="none" w:sz="0" w:space="0" w:color="auto"/>
        <w:bottom w:val="none" w:sz="0" w:space="0" w:color="auto"/>
        <w:right w:val="none" w:sz="0" w:space="0" w:color="auto"/>
      </w:divBdr>
    </w:div>
    <w:div w:id="1309627047">
      <w:bodyDiv w:val="1"/>
      <w:marLeft w:val="0"/>
      <w:marRight w:val="0"/>
      <w:marTop w:val="0"/>
      <w:marBottom w:val="0"/>
      <w:divBdr>
        <w:top w:val="none" w:sz="0" w:space="0" w:color="auto"/>
        <w:left w:val="none" w:sz="0" w:space="0" w:color="auto"/>
        <w:bottom w:val="none" w:sz="0" w:space="0" w:color="auto"/>
        <w:right w:val="none" w:sz="0" w:space="0" w:color="auto"/>
      </w:divBdr>
    </w:div>
    <w:div w:id="1310793166">
      <w:bodyDiv w:val="1"/>
      <w:marLeft w:val="0"/>
      <w:marRight w:val="0"/>
      <w:marTop w:val="0"/>
      <w:marBottom w:val="0"/>
      <w:divBdr>
        <w:top w:val="none" w:sz="0" w:space="0" w:color="auto"/>
        <w:left w:val="none" w:sz="0" w:space="0" w:color="auto"/>
        <w:bottom w:val="none" w:sz="0" w:space="0" w:color="auto"/>
        <w:right w:val="none" w:sz="0" w:space="0" w:color="auto"/>
      </w:divBdr>
    </w:div>
    <w:div w:id="1314680330">
      <w:bodyDiv w:val="1"/>
      <w:marLeft w:val="0"/>
      <w:marRight w:val="0"/>
      <w:marTop w:val="0"/>
      <w:marBottom w:val="0"/>
      <w:divBdr>
        <w:top w:val="none" w:sz="0" w:space="0" w:color="auto"/>
        <w:left w:val="none" w:sz="0" w:space="0" w:color="auto"/>
        <w:bottom w:val="none" w:sz="0" w:space="0" w:color="auto"/>
        <w:right w:val="none" w:sz="0" w:space="0" w:color="auto"/>
      </w:divBdr>
    </w:div>
    <w:div w:id="1389063207">
      <w:bodyDiv w:val="1"/>
      <w:marLeft w:val="0"/>
      <w:marRight w:val="0"/>
      <w:marTop w:val="0"/>
      <w:marBottom w:val="0"/>
      <w:divBdr>
        <w:top w:val="none" w:sz="0" w:space="0" w:color="auto"/>
        <w:left w:val="none" w:sz="0" w:space="0" w:color="auto"/>
        <w:bottom w:val="none" w:sz="0" w:space="0" w:color="auto"/>
        <w:right w:val="none" w:sz="0" w:space="0" w:color="auto"/>
      </w:divBdr>
    </w:div>
    <w:div w:id="1439132322">
      <w:bodyDiv w:val="1"/>
      <w:marLeft w:val="0"/>
      <w:marRight w:val="0"/>
      <w:marTop w:val="0"/>
      <w:marBottom w:val="0"/>
      <w:divBdr>
        <w:top w:val="none" w:sz="0" w:space="0" w:color="auto"/>
        <w:left w:val="none" w:sz="0" w:space="0" w:color="auto"/>
        <w:bottom w:val="none" w:sz="0" w:space="0" w:color="auto"/>
        <w:right w:val="none" w:sz="0" w:space="0" w:color="auto"/>
      </w:divBdr>
    </w:div>
    <w:div w:id="1444030449">
      <w:bodyDiv w:val="1"/>
      <w:marLeft w:val="0"/>
      <w:marRight w:val="0"/>
      <w:marTop w:val="0"/>
      <w:marBottom w:val="0"/>
      <w:divBdr>
        <w:top w:val="none" w:sz="0" w:space="0" w:color="auto"/>
        <w:left w:val="none" w:sz="0" w:space="0" w:color="auto"/>
        <w:bottom w:val="none" w:sz="0" w:space="0" w:color="auto"/>
        <w:right w:val="none" w:sz="0" w:space="0" w:color="auto"/>
      </w:divBdr>
    </w:div>
    <w:div w:id="1471826879">
      <w:bodyDiv w:val="1"/>
      <w:marLeft w:val="0"/>
      <w:marRight w:val="0"/>
      <w:marTop w:val="0"/>
      <w:marBottom w:val="0"/>
      <w:divBdr>
        <w:top w:val="none" w:sz="0" w:space="0" w:color="auto"/>
        <w:left w:val="none" w:sz="0" w:space="0" w:color="auto"/>
        <w:bottom w:val="none" w:sz="0" w:space="0" w:color="auto"/>
        <w:right w:val="none" w:sz="0" w:space="0" w:color="auto"/>
      </w:divBdr>
    </w:div>
    <w:div w:id="1550727070">
      <w:bodyDiv w:val="1"/>
      <w:marLeft w:val="0"/>
      <w:marRight w:val="0"/>
      <w:marTop w:val="0"/>
      <w:marBottom w:val="0"/>
      <w:divBdr>
        <w:top w:val="none" w:sz="0" w:space="0" w:color="auto"/>
        <w:left w:val="none" w:sz="0" w:space="0" w:color="auto"/>
        <w:bottom w:val="none" w:sz="0" w:space="0" w:color="auto"/>
        <w:right w:val="none" w:sz="0" w:space="0" w:color="auto"/>
      </w:divBdr>
    </w:div>
    <w:div w:id="1601258469">
      <w:bodyDiv w:val="1"/>
      <w:marLeft w:val="0"/>
      <w:marRight w:val="0"/>
      <w:marTop w:val="0"/>
      <w:marBottom w:val="0"/>
      <w:divBdr>
        <w:top w:val="none" w:sz="0" w:space="0" w:color="auto"/>
        <w:left w:val="none" w:sz="0" w:space="0" w:color="auto"/>
        <w:bottom w:val="none" w:sz="0" w:space="0" w:color="auto"/>
        <w:right w:val="none" w:sz="0" w:space="0" w:color="auto"/>
      </w:divBdr>
    </w:div>
    <w:div w:id="1668241746">
      <w:bodyDiv w:val="1"/>
      <w:marLeft w:val="0"/>
      <w:marRight w:val="0"/>
      <w:marTop w:val="0"/>
      <w:marBottom w:val="0"/>
      <w:divBdr>
        <w:top w:val="none" w:sz="0" w:space="0" w:color="auto"/>
        <w:left w:val="none" w:sz="0" w:space="0" w:color="auto"/>
        <w:bottom w:val="none" w:sz="0" w:space="0" w:color="auto"/>
        <w:right w:val="none" w:sz="0" w:space="0" w:color="auto"/>
      </w:divBdr>
    </w:div>
    <w:div w:id="1694458072">
      <w:bodyDiv w:val="1"/>
      <w:marLeft w:val="0"/>
      <w:marRight w:val="0"/>
      <w:marTop w:val="0"/>
      <w:marBottom w:val="0"/>
      <w:divBdr>
        <w:top w:val="none" w:sz="0" w:space="0" w:color="auto"/>
        <w:left w:val="none" w:sz="0" w:space="0" w:color="auto"/>
        <w:bottom w:val="none" w:sz="0" w:space="0" w:color="auto"/>
        <w:right w:val="none" w:sz="0" w:space="0" w:color="auto"/>
      </w:divBdr>
    </w:div>
    <w:div w:id="1795253735">
      <w:bodyDiv w:val="1"/>
      <w:marLeft w:val="0"/>
      <w:marRight w:val="0"/>
      <w:marTop w:val="0"/>
      <w:marBottom w:val="0"/>
      <w:divBdr>
        <w:top w:val="none" w:sz="0" w:space="0" w:color="auto"/>
        <w:left w:val="none" w:sz="0" w:space="0" w:color="auto"/>
        <w:bottom w:val="none" w:sz="0" w:space="0" w:color="auto"/>
        <w:right w:val="none" w:sz="0" w:space="0" w:color="auto"/>
      </w:divBdr>
    </w:div>
    <w:div w:id="1814978106">
      <w:bodyDiv w:val="1"/>
      <w:marLeft w:val="0"/>
      <w:marRight w:val="0"/>
      <w:marTop w:val="0"/>
      <w:marBottom w:val="0"/>
      <w:divBdr>
        <w:top w:val="none" w:sz="0" w:space="0" w:color="auto"/>
        <w:left w:val="none" w:sz="0" w:space="0" w:color="auto"/>
        <w:bottom w:val="none" w:sz="0" w:space="0" w:color="auto"/>
        <w:right w:val="none" w:sz="0" w:space="0" w:color="auto"/>
      </w:divBdr>
    </w:div>
    <w:div w:id="1823623781">
      <w:bodyDiv w:val="1"/>
      <w:marLeft w:val="0"/>
      <w:marRight w:val="0"/>
      <w:marTop w:val="0"/>
      <w:marBottom w:val="0"/>
      <w:divBdr>
        <w:top w:val="none" w:sz="0" w:space="0" w:color="auto"/>
        <w:left w:val="none" w:sz="0" w:space="0" w:color="auto"/>
        <w:bottom w:val="none" w:sz="0" w:space="0" w:color="auto"/>
        <w:right w:val="none" w:sz="0" w:space="0" w:color="auto"/>
      </w:divBdr>
    </w:div>
    <w:div w:id="1890915886">
      <w:bodyDiv w:val="1"/>
      <w:marLeft w:val="0"/>
      <w:marRight w:val="0"/>
      <w:marTop w:val="0"/>
      <w:marBottom w:val="0"/>
      <w:divBdr>
        <w:top w:val="none" w:sz="0" w:space="0" w:color="auto"/>
        <w:left w:val="none" w:sz="0" w:space="0" w:color="auto"/>
        <w:bottom w:val="none" w:sz="0" w:space="0" w:color="auto"/>
        <w:right w:val="none" w:sz="0" w:space="0" w:color="auto"/>
      </w:divBdr>
    </w:div>
    <w:div w:id="1933512129">
      <w:bodyDiv w:val="1"/>
      <w:marLeft w:val="0"/>
      <w:marRight w:val="0"/>
      <w:marTop w:val="0"/>
      <w:marBottom w:val="0"/>
      <w:divBdr>
        <w:top w:val="none" w:sz="0" w:space="0" w:color="auto"/>
        <w:left w:val="none" w:sz="0" w:space="0" w:color="auto"/>
        <w:bottom w:val="none" w:sz="0" w:space="0" w:color="auto"/>
        <w:right w:val="none" w:sz="0" w:space="0" w:color="auto"/>
      </w:divBdr>
    </w:div>
    <w:div w:id="1952854617">
      <w:bodyDiv w:val="1"/>
      <w:marLeft w:val="0"/>
      <w:marRight w:val="0"/>
      <w:marTop w:val="0"/>
      <w:marBottom w:val="0"/>
      <w:divBdr>
        <w:top w:val="none" w:sz="0" w:space="0" w:color="auto"/>
        <w:left w:val="none" w:sz="0" w:space="0" w:color="auto"/>
        <w:bottom w:val="none" w:sz="0" w:space="0" w:color="auto"/>
        <w:right w:val="none" w:sz="0" w:space="0" w:color="auto"/>
      </w:divBdr>
    </w:div>
    <w:div w:id="1959870891">
      <w:bodyDiv w:val="1"/>
      <w:marLeft w:val="0"/>
      <w:marRight w:val="0"/>
      <w:marTop w:val="0"/>
      <w:marBottom w:val="0"/>
      <w:divBdr>
        <w:top w:val="none" w:sz="0" w:space="0" w:color="auto"/>
        <w:left w:val="none" w:sz="0" w:space="0" w:color="auto"/>
        <w:bottom w:val="none" w:sz="0" w:space="0" w:color="auto"/>
        <w:right w:val="none" w:sz="0" w:space="0" w:color="auto"/>
      </w:divBdr>
    </w:div>
    <w:div w:id="1972247876">
      <w:bodyDiv w:val="1"/>
      <w:marLeft w:val="0"/>
      <w:marRight w:val="0"/>
      <w:marTop w:val="0"/>
      <w:marBottom w:val="0"/>
      <w:divBdr>
        <w:top w:val="none" w:sz="0" w:space="0" w:color="auto"/>
        <w:left w:val="none" w:sz="0" w:space="0" w:color="auto"/>
        <w:bottom w:val="none" w:sz="0" w:space="0" w:color="auto"/>
        <w:right w:val="none" w:sz="0" w:space="0" w:color="auto"/>
      </w:divBdr>
    </w:div>
    <w:div w:id="2032141740">
      <w:bodyDiv w:val="1"/>
      <w:marLeft w:val="0"/>
      <w:marRight w:val="0"/>
      <w:marTop w:val="0"/>
      <w:marBottom w:val="0"/>
      <w:divBdr>
        <w:top w:val="none" w:sz="0" w:space="0" w:color="auto"/>
        <w:left w:val="none" w:sz="0" w:space="0" w:color="auto"/>
        <w:bottom w:val="none" w:sz="0" w:space="0" w:color="auto"/>
        <w:right w:val="none" w:sz="0" w:space="0" w:color="auto"/>
      </w:divBdr>
    </w:div>
    <w:div w:id="2080201221">
      <w:bodyDiv w:val="1"/>
      <w:marLeft w:val="0"/>
      <w:marRight w:val="0"/>
      <w:marTop w:val="0"/>
      <w:marBottom w:val="0"/>
      <w:divBdr>
        <w:top w:val="none" w:sz="0" w:space="0" w:color="auto"/>
        <w:left w:val="none" w:sz="0" w:space="0" w:color="auto"/>
        <w:bottom w:val="none" w:sz="0" w:space="0" w:color="auto"/>
        <w:right w:val="none" w:sz="0" w:space="0" w:color="auto"/>
      </w:divBdr>
    </w:div>
    <w:div w:id="209311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BBD80-8389-46C4-A9B3-36D677FD492F}">
  <ds:schemaRefs>
    <ds:schemaRef ds:uri="http://schemas.openxmlformats.org/officeDocument/2006/bibliography"/>
  </ds:schemaRefs>
</ds:datastoreItem>
</file>

<file path=customXml/itemProps2.xml><?xml version="1.0" encoding="utf-8"?>
<ds:datastoreItem xmlns:ds="http://schemas.openxmlformats.org/officeDocument/2006/customXml" ds:itemID="{68436F45-730D-4E91-B58C-4A8CFB9D6D3A}">
  <ds:schemaRefs>
    <ds:schemaRef ds:uri="http://schemas.openxmlformats.org/officeDocument/2006/bibliography"/>
  </ds:schemaRefs>
</ds:datastoreItem>
</file>

<file path=customXml/itemProps3.xml><?xml version="1.0" encoding="utf-8"?>
<ds:datastoreItem xmlns:ds="http://schemas.openxmlformats.org/officeDocument/2006/customXml" ds:itemID="{9C00D617-2768-4EBF-9DA3-18F73AD67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9130</Words>
  <Characters>52045</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STATE FIRE COMMISSION</vt:lpstr>
    </vt:vector>
  </TitlesOfParts>
  <Company>Tasmania Fire Service</Company>
  <LinksUpToDate>false</LinksUpToDate>
  <CharactersWithSpaces>61053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FIRE COMMISSION</dc:title>
  <dc:creator>Chris Neumayer</dc:creator>
  <dc:description>Changes made following Commission's Special Meeting on 23 Mar 09.</dc:description>
  <cp:lastModifiedBy>Mike Gallagher</cp:lastModifiedBy>
  <cp:revision>2</cp:revision>
  <cp:lastPrinted>2011-03-25T01:49:00Z</cp:lastPrinted>
  <dcterms:created xsi:type="dcterms:W3CDTF">2011-05-19T04:32:00Z</dcterms:created>
  <dcterms:modified xsi:type="dcterms:W3CDTF">2011-05-19T04:32:00Z</dcterms:modified>
</cp:coreProperties>
</file>